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B5E3D">
      <w:pPr>
        <w:snapToGrid w:val="0"/>
        <w:spacing w:line="480" w:lineRule="exact"/>
        <w:jc w:val="center"/>
        <w:rPr>
          <w:rFonts w:eastAsia="黑体"/>
          <w:bCs/>
          <w:color w:val="000000"/>
          <w:sz w:val="36"/>
          <w:szCs w:val="36"/>
        </w:rPr>
      </w:pPr>
      <w:bookmarkStart w:id="0" w:name="_Toc115965295"/>
      <w:r>
        <w:rPr>
          <w:rFonts w:hint="eastAsia" w:eastAsia="黑体"/>
          <w:bCs/>
          <w:color w:val="000000"/>
          <w:sz w:val="36"/>
          <w:szCs w:val="36"/>
        </w:rPr>
        <w:t>兽医全日制专业学位</w:t>
      </w:r>
      <w:bookmarkEnd w:id="0"/>
      <w:r>
        <w:rPr>
          <w:rFonts w:hint="eastAsia" w:eastAsia="黑体"/>
          <w:bCs/>
          <w:color w:val="000000"/>
          <w:sz w:val="36"/>
          <w:szCs w:val="36"/>
        </w:rPr>
        <w:t>硕士研究生培养方案</w:t>
      </w:r>
    </w:p>
    <w:p w14:paraId="07307724">
      <w:pPr>
        <w:snapToGrid w:val="0"/>
        <w:spacing w:line="480" w:lineRule="exact"/>
        <w:jc w:val="center"/>
      </w:pPr>
      <w:r>
        <w:rPr>
          <w:rFonts w:hint="eastAsia" w:eastAsia="黑体"/>
          <w:bCs/>
          <w:color w:val="000000"/>
          <w:sz w:val="36"/>
          <w:szCs w:val="36"/>
        </w:rPr>
        <w:t>（专业代码：095200）</w:t>
      </w:r>
    </w:p>
    <w:p w14:paraId="1AC83BDA">
      <w:pPr>
        <w:spacing w:before="312" w:beforeLines="100" w:line="560" w:lineRule="exact"/>
        <w:ind w:firstLine="640" w:firstLineChars="200"/>
        <w:rPr>
          <w:rFonts w:eastAsia="黑体" w:cs="黑体"/>
          <w:bCs/>
          <w:sz w:val="32"/>
          <w:szCs w:val="32"/>
        </w:rPr>
      </w:pPr>
      <w:r>
        <w:rPr>
          <w:rFonts w:hint="eastAsia" w:eastAsia="黑体" w:cs="黑体"/>
          <w:bCs/>
          <w:sz w:val="32"/>
          <w:szCs w:val="32"/>
        </w:rPr>
        <w:t>一、专业类别（领域）简介</w:t>
      </w:r>
    </w:p>
    <w:p w14:paraId="77FA3956">
      <w:pPr>
        <w:spacing w:line="560" w:lineRule="exact"/>
        <w:ind w:firstLine="640" w:firstLineChars="200"/>
        <w:rPr>
          <w:rFonts w:hint="eastAsia" w:eastAsia="仿宋_GB2312" w:cs="仿宋"/>
          <w:sz w:val="32"/>
          <w:szCs w:val="32"/>
        </w:rPr>
      </w:pPr>
      <w:r>
        <w:rPr>
          <w:rFonts w:hint="eastAsia" w:eastAsia="仿宋_GB2312" w:cs="仿宋"/>
          <w:sz w:val="32"/>
          <w:szCs w:val="32"/>
        </w:rPr>
        <w:t>聊城大学兽医硕士专业学位点隶属于农业与生物学院，现拥有3540</w:t>
      </w:r>
      <w:r>
        <w:rPr>
          <w:rFonts w:hint="eastAsia" w:eastAsia="Segoe UI Symbol" w:cs="Segoe UI Symbol"/>
          <w:sz w:val="32"/>
          <w:szCs w:val="32"/>
        </w:rPr>
        <w:t>㎡</w:t>
      </w:r>
      <w:r>
        <w:rPr>
          <w:rFonts w:hint="eastAsia" w:eastAsia="仿宋_GB2312" w:cs="仿宋_GB2312"/>
          <w:sz w:val="32"/>
          <w:szCs w:val="32"/>
        </w:rPr>
        <w:t>实验教学中心（含</w:t>
      </w:r>
      <w:r>
        <w:rPr>
          <w:rFonts w:hint="eastAsia" w:eastAsia="仿宋_GB2312" w:cs="仿宋"/>
          <w:sz w:val="32"/>
          <w:szCs w:val="32"/>
        </w:rPr>
        <w:t>1050</w:t>
      </w:r>
      <w:r>
        <w:rPr>
          <w:rFonts w:hint="eastAsia" w:eastAsia="Segoe UI Symbol" w:cs="Segoe UI Symbol"/>
          <w:sz w:val="32"/>
          <w:szCs w:val="32"/>
        </w:rPr>
        <w:t>㎡</w:t>
      </w:r>
      <w:r>
        <w:rPr>
          <w:rFonts w:hint="eastAsia" w:eastAsia="仿宋_GB2312" w:cs="仿宋_GB2312"/>
          <w:sz w:val="32"/>
          <w:szCs w:val="32"/>
        </w:rPr>
        <w:t>教学动物医院）、</w:t>
      </w:r>
      <w:r>
        <w:rPr>
          <w:rFonts w:hint="eastAsia" w:eastAsia="仿宋_GB2312" w:cs="仿宋"/>
          <w:sz w:val="32"/>
          <w:szCs w:val="32"/>
        </w:rPr>
        <w:t>17个专业教学实验室。学位点现有教师42人，教授8人，副教授22人，拥有博士学位者40人。泰山产业领军人才2人，国家生猪产业技术体系综合试验站站长1人，山东省现代农业产业技术体系成员5人。目前研究团队有动物细菌性疾病防控技术创新团队、驴疫病防控创新团队、水禽疫病基础与防控技术创新团队和中兽医药科研创新团队等。2022年联合获批聊城市现代农牧业功能性生物制剂重点实验室，2023年联合获批聊城市动物用噬菌体技术创新中心，2024年联合成立“聊大-至康”养猪研究院。</w:t>
      </w:r>
    </w:p>
    <w:p w14:paraId="32BE880E">
      <w:pPr>
        <w:spacing w:line="560" w:lineRule="exact"/>
        <w:ind w:firstLine="640" w:firstLineChars="200"/>
        <w:rPr>
          <w:rFonts w:hint="eastAsia" w:eastAsia="仿宋_GB2312" w:cs="仿宋"/>
          <w:sz w:val="32"/>
          <w:szCs w:val="32"/>
        </w:rPr>
      </w:pPr>
      <w:r>
        <w:rPr>
          <w:rFonts w:hint="eastAsia" w:eastAsia="仿宋_GB2312" w:cs="仿宋"/>
          <w:sz w:val="32"/>
          <w:szCs w:val="32"/>
        </w:rPr>
        <w:t>学位点聚焦黄河流域及北方地区重大动物疫病、抗生素超负荷投入等产业瓶颈问题，联合行业企业，协同产业资源，按照应用性成果导向，开展技术攻关，推动产业绿色健康发展。现主持国家自然科学基金等国家和省级科研项目各级项目 120 项，先后获神农中华农业科技奖、山东省农业科技转化促进会科技兴农奖优秀项目奖一等奖、山东省畜牧科学技术奖二等奖、齐鲁农业科技奖青年科技奖等8项，承担国家级“大创”项目27项，省级“大创”项目65项。</w:t>
      </w:r>
    </w:p>
    <w:p w14:paraId="5D506116">
      <w:pPr>
        <w:spacing w:line="560" w:lineRule="exact"/>
        <w:ind w:firstLine="640" w:firstLineChars="200"/>
        <w:rPr>
          <w:rFonts w:eastAsia="黑体"/>
          <w:bCs/>
          <w:sz w:val="32"/>
        </w:rPr>
      </w:pPr>
      <w:r>
        <w:rPr>
          <w:rFonts w:hint="eastAsia" w:eastAsia="黑体"/>
          <w:bCs/>
          <w:sz w:val="32"/>
        </w:rPr>
        <w:t>二、培养目标</w:t>
      </w:r>
    </w:p>
    <w:p w14:paraId="70B8AC95">
      <w:pPr>
        <w:spacing w:line="560" w:lineRule="exact"/>
        <w:ind w:firstLine="640" w:firstLineChars="200"/>
        <w:rPr>
          <w:rFonts w:eastAsia="仿宋_GB2312" w:cs="仿宋"/>
          <w:sz w:val="32"/>
          <w:szCs w:val="32"/>
        </w:rPr>
      </w:pPr>
      <w:r>
        <w:rPr>
          <w:rFonts w:eastAsia="仿宋_GB2312" w:cs="仿宋"/>
          <w:sz w:val="32"/>
          <w:szCs w:val="32"/>
        </w:rPr>
        <w:t>兽医硕士专业学位适应国家执业兽医和官方兽医的要求，面向动物诊疗机构、动物养殖生产企业、兽药生产与营销企业以及动物疫病预防控制、兽医卫生监督执法、兽医行政管理、进出境检疫等部门，培养从事动物疾病诊疗、动物检疫、环境保护、技术监督、行政管理以及市场开发与管理等工作的应用型高水平人才。具体要求为：</w:t>
      </w:r>
    </w:p>
    <w:p w14:paraId="77C1B248">
      <w:pPr>
        <w:spacing w:line="560" w:lineRule="exact"/>
        <w:ind w:firstLine="640" w:firstLineChars="200"/>
        <w:rPr>
          <w:rFonts w:eastAsia="仿宋_GB2312" w:cs="仿宋"/>
          <w:sz w:val="32"/>
          <w:szCs w:val="32"/>
        </w:rPr>
      </w:pPr>
      <w:r>
        <w:rPr>
          <w:rFonts w:hint="eastAsia" w:eastAsia="仿宋_GB2312" w:cs="仿宋"/>
          <w:sz w:val="32"/>
          <w:szCs w:val="32"/>
        </w:rPr>
        <w:t>（一）</w:t>
      </w:r>
      <w:r>
        <w:rPr>
          <w:rFonts w:eastAsia="仿宋_GB2312" w:cs="仿宋"/>
          <w:sz w:val="32"/>
          <w:szCs w:val="32"/>
        </w:rPr>
        <w:t>较好地掌握习近平新时代中国特色的社会主义思想，拥护党的基本路线和方针政策，热爱祖国，遵纪守法，品德高尚，具有良好的职业道德和敬业精神，积极为我国经济建设和兽医现代化服务。</w:t>
      </w:r>
    </w:p>
    <w:p w14:paraId="5CE1728F">
      <w:pPr>
        <w:spacing w:line="560" w:lineRule="exact"/>
        <w:ind w:firstLine="640" w:firstLineChars="200"/>
        <w:rPr>
          <w:rFonts w:eastAsia="仿宋_GB2312" w:cs="仿宋"/>
          <w:sz w:val="32"/>
          <w:szCs w:val="32"/>
        </w:rPr>
      </w:pPr>
      <w:r>
        <w:rPr>
          <w:rFonts w:hint="eastAsia" w:eastAsia="仿宋_GB2312" w:cs="仿宋"/>
          <w:sz w:val="32"/>
          <w:szCs w:val="32"/>
        </w:rPr>
        <w:t>（二）</w:t>
      </w:r>
      <w:r>
        <w:rPr>
          <w:rFonts w:eastAsia="仿宋_GB2312" w:cs="仿宋"/>
          <w:sz w:val="32"/>
          <w:szCs w:val="32"/>
        </w:rPr>
        <w:t>较好地掌握专业领域的理论基础和专门知识，具备较宽广的相关学科知识，熟悉国家的相关政策和法规，能够较熟练地阅读专业领域的外文资料。熟悉我国兽医事业的现状，了解国际兽医行业的发展动态和趋势。</w:t>
      </w:r>
    </w:p>
    <w:p w14:paraId="4EB4C9A8">
      <w:pPr>
        <w:spacing w:line="560" w:lineRule="exact"/>
        <w:ind w:firstLine="640" w:firstLineChars="200"/>
        <w:rPr>
          <w:rFonts w:eastAsia="仿宋_GB2312" w:cs="仿宋"/>
          <w:sz w:val="32"/>
          <w:szCs w:val="32"/>
        </w:rPr>
      </w:pPr>
      <w:r>
        <w:rPr>
          <w:rFonts w:hint="eastAsia" w:eastAsia="仿宋_GB2312" w:cs="仿宋"/>
          <w:sz w:val="32"/>
          <w:szCs w:val="32"/>
        </w:rPr>
        <w:t>（三）</w:t>
      </w:r>
      <w:r>
        <w:rPr>
          <w:rFonts w:eastAsia="仿宋_GB2312" w:cs="仿宋"/>
          <w:sz w:val="32"/>
          <w:szCs w:val="32"/>
        </w:rPr>
        <w:t>有较强的运用现代科学技术和理论知识解决实际问题的能力，有较强的统筹决策、组织管理和业务实施能力。能独立担负兽医科技服务、技术监督、管理与开发、项目规划与实施等工作。</w:t>
      </w:r>
    </w:p>
    <w:p w14:paraId="60CE3597">
      <w:pPr>
        <w:spacing w:line="560" w:lineRule="exact"/>
        <w:ind w:firstLine="640" w:firstLineChars="200"/>
        <w:rPr>
          <w:rFonts w:eastAsia="黑体"/>
          <w:bCs/>
          <w:sz w:val="32"/>
        </w:rPr>
      </w:pPr>
      <w:r>
        <w:rPr>
          <w:rFonts w:hint="eastAsia" w:eastAsia="黑体"/>
          <w:bCs/>
          <w:sz w:val="32"/>
        </w:rPr>
        <w:t>三</w:t>
      </w:r>
      <w:r>
        <w:rPr>
          <w:rFonts w:eastAsia="黑体"/>
          <w:bCs/>
          <w:sz w:val="32"/>
        </w:rPr>
        <w:t>、</w:t>
      </w:r>
      <w:r>
        <w:rPr>
          <w:rFonts w:hint="eastAsia" w:eastAsia="黑体"/>
          <w:bCs/>
          <w:sz w:val="32"/>
        </w:rPr>
        <w:t>研究方向</w:t>
      </w:r>
    </w:p>
    <w:p w14:paraId="021107B3">
      <w:pPr>
        <w:spacing w:line="560" w:lineRule="exact"/>
        <w:ind w:firstLine="640" w:firstLineChars="200"/>
        <w:rPr>
          <w:rFonts w:eastAsia="仿宋_GB2312" w:cs="仿宋"/>
          <w:sz w:val="32"/>
          <w:szCs w:val="32"/>
        </w:rPr>
      </w:pPr>
      <w:r>
        <w:rPr>
          <w:rFonts w:eastAsia="仿宋_GB2312" w:cs="仿宋"/>
          <w:sz w:val="32"/>
          <w:szCs w:val="32"/>
        </w:rPr>
        <w:t>兽医专业硕士</w:t>
      </w:r>
      <w:r>
        <w:rPr>
          <w:rFonts w:hint="eastAsia" w:eastAsia="仿宋_GB2312" w:cs="仿宋"/>
          <w:sz w:val="32"/>
          <w:szCs w:val="32"/>
        </w:rPr>
        <w:t>主要包括四个研究方向：</w:t>
      </w:r>
    </w:p>
    <w:p w14:paraId="53F815D6">
      <w:pPr>
        <w:spacing w:line="560" w:lineRule="exact"/>
        <w:ind w:firstLine="640" w:firstLineChars="200"/>
        <w:rPr>
          <w:rFonts w:eastAsia="仿宋_GB2312" w:cs="仿宋"/>
          <w:sz w:val="32"/>
          <w:szCs w:val="32"/>
        </w:rPr>
      </w:pPr>
      <w:r>
        <w:rPr>
          <w:rFonts w:eastAsia="仿宋_GB2312" w:cs="仿宋"/>
          <w:sz w:val="32"/>
          <w:szCs w:val="32"/>
        </w:rPr>
        <w:t>（一）动物疾病诊疗</w:t>
      </w:r>
    </w:p>
    <w:p w14:paraId="04A9EDB1">
      <w:pPr>
        <w:spacing w:line="560" w:lineRule="exact"/>
        <w:ind w:firstLine="640" w:firstLineChars="200"/>
        <w:rPr>
          <w:rFonts w:eastAsia="仿宋_GB2312" w:cs="仿宋"/>
          <w:sz w:val="32"/>
          <w:szCs w:val="32"/>
        </w:rPr>
      </w:pPr>
      <w:r>
        <w:rPr>
          <w:rFonts w:eastAsia="仿宋_GB2312" w:cs="仿宋"/>
          <w:sz w:val="32"/>
          <w:szCs w:val="32"/>
        </w:rPr>
        <w:t>主要以伴侣动物、畜禽和毛皮动物为研究对象，重点开展伴侣动物的医疗保健、畜禽疫病的诊断与防治、兽医的病理诊断等领域的研究，为动物的疾病诊疗与防治提供新的技术手段。</w:t>
      </w:r>
    </w:p>
    <w:p w14:paraId="25564414">
      <w:pPr>
        <w:spacing w:line="560" w:lineRule="exact"/>
        <w:ind w:firstLine="640" w:firstLineChars="200"/>
        <w:rPr>
          <w:rFonts w:eastAsia="仿宋_GB2312" w:cs="仿宋"/>
          <w:sz w:val="32"/>
          <w:szCs w:val="32"/>
        </w:rPr>
      </w:pPr>
      <w:r>
        <w:rPr>
          <w:rFonts w:hint="eastAsia" w:eastAsia="仿宋_GB2312" w:cs="仿宋"/>
          <w:sz w:val="32"/>
          <w:szCs w:val="32"/>
        </w:rPr>
        <w:t>（二）</w:t>
      </w:r>
      <w:r>
        <w:rPr>
          <w:rFonts w:eastAsia="仿宋_GB2312" w:cs="仿宋"/>
          <w:sz w:val="32"/>
          <w:szCs w:val="32"/>
        </w:rPr>
        <w:t>动物疫病的防控与检疫</w:t>
      </w:r>
    </w:p>
    <w:p w14:paraId="6C1FA8ED">
      <w:pPr>
        <w:spacing w:line="560" w:lineRule="exact"/>
        <w:ind w:firstLine="640" w:firstLineChars="200"/>
        <w:rPr>
          <w:rFonts w:eastAsia="仿宋_GB2312" w:cs="仿宋"/>
          <w:sz w:val="32"/>
          <w:szCs w:val="32"/>
        </w:rPr>
      </w:pPr>
      <w:r>
        <w:rPr>
          <w:rFonts w:eastAsia="仿宋_GB2312" w:cs="仿宋"/>
          <w:sz w:val="32"/>
          <w:szCs w:val="32"/>
        </w:rPr>
        <w:t>主要针对猪禽和驴等群体开展流行病学调查、动物疫病预防、动物源食品</w:t>
      </w:r>
      <w:r>
        <w:rPr>
          <w:rFonts w:hint="eastAsia" w:eastAsia="仿宋_GB2312" w:cs="仿宋"/>
          <w:sz w:val="32"/>
          <w:szCs w:val="32"/>
        </w:rPr>
        <w:t>检疫</w:t>
      </w:r>
      <w:r>
        <w:rPr>
          <w:rFonts w:eastAsia="仿宋_GB2312" w:cs="仿宋"/>
          <w:sz w:val="32"/>
          <w:szCs w:val="32"/>
        </w:rPr>
        <w:t>等领域的研究，为动物疾病的致病机理、病原检测新技术的创新、新兽药与疫苗的研发提供理论依据。</w:t>
      </w:r>
    </w:p>
    <w:p w14:paraId="751ABE7F">
      <w:pPr>
        <w:spacing w:line="560" w:lineRule="exact"/>
        <w:ind w:firstLine="640" w:firstLineChars="200"/>
        <w:rPr>
          <w:rFonts w:eastAsia="仿宋_GB2312" w:cs="仿宋"/>
          <w:sz w:val="32"/>
          <w:szCs w:val="32"/>
        </w:rPr>
      </w:pPr>
      <w:r>
        <w:rPr>
          <w:rFonts w:eastAsia="仿宋_GB2312" w:cs="仿宋"/>
          <w:sz w:val="32"/>
          <w:szCs w:val="32"/>
        </w:rPr>
        <w:t>（三）兽医公共卫生</w:t>
      </w:r>
    </w:p>
    <w:p w14:paraId="52DE9490">
      <w:pPr>
        <w:spacing w:line="560" w:lineRule="exact"/>
        <w:ind w:firstLine="640" w:firstLineChars="200"/>
        <w:rPr>
          <w:rFonts w:eastAsia="仿宋_GB2312" w:cs="仿宋"/>
          <w:sz w:val="32"/>
          <w:szCs w:val="32"/>
        </w:rPr>
      </w:pPr>
      <w:r>
        <w:rPr>
          <w:rFonts w:eastAsia="仿宋_GB2312" w:cs="仿宋"/>
          <w:sz w:val="32"/>
          <w:szCs w:val="32"/>
        </w:rPr>
        <w:t>主要以严重危害动物养殖和公共卫生安全的重大动物疫病为研究对象，重点开展动物流行病学调查与溯源、兽医公共卫生风险评估与控制、人兽共患病预防等领域的研究，为人类健康保驾护航。</w:t>
      </w:r>
    </w:p>
    <w:p w14:paraId="5B49D1E9">
      <w:pPr>
        <w:spacing w:line="560" w:lineRule="exact"/>
        <w:ind w:firstLine="640" w:firstLineChars="200"/>
        <w:rPr>
          <w:rFonts w:eastAsia="仿宋_GB2312" w:cs="仿宋"/>
          <w:sz w:val="32"/>
          <w:szCs w:val="32"/>
        </w:rPr>
      </w:pPr>
      <w:r>
        <w:rPr>
          <w:rFonts w:eastAsia="仿宋_GB2312" w:cs="仿宋"/>
          <w:sz w:val="32"/>
          <w:szCs w:val="32"/>
        </w:rPr>
        <w:t>（四）新型兽药产品研制</w:t>
      </w:r>
    </w:p>
    <w:p w14:paraId="01AB6E57">
      <w:pPr>
        <w:spacing w:line="560" w:lineRule="exact"/>
        <w:ind w:firstLine="640" w:firstLineChars="200"/>
        <w:rPr>
          <w:rFonts w:eastAsia="仿宋_GB2312" w:cs="仿宋"/>
          <w:sz w:val="32"/>
          <w:szCs w:val="32"/>
        </w:rPr>
      </w:pPr>
      <w:r>
        <w:rPr>
          <w:rFonts w:eastAsia="仿宋_GB2312" w:cs="仿宋"/>
          <w:sz w:val="32"/>
          <w:szCs w:val="32"/>
        </w:rPr>
        <w:t>主要针对当下对养殖业造成重大损失的畜禽疫病，重点开展中兽医药研究、噬菌体制剂研制、新兽药</w:t>
      </w:r>
      <w:r>
        <w:rPr>
          <w:rFonts w:hint="eastAsia" w:eastAsia="仿宋_GB2312" w:cs="仿宋"/>
          <w:sz w:val="32"/>
          <w:szCs w:val="32"/>
        </w:rPr>
        <w:t>研发</w:t>
      </w:r>
      <w:r>
        <w:rPr>
          <w:rFonts w:eastAsia="仿宋_GB2312" w:cs="仿宋"/>
          <w:sz w:val="32"/>
          <w:szCs w:val="32"/>
        </w:rPr>
        <w:t>、兽药的药效学和药代动力学等研究，为动物疾病的预防和治疗提供理论依据。</w:t>
      </w:r>
    </w:p>
    <w:p w14:paraId="25388974">
      <w:pPr>
        <w:spacing w:line="560" w:lineRule="exact"/>
        <w:ind w:firstLine="640" w:firstLineChars="200"/>
        <w:rPr>
          <w:rFonts w:eastAsia="黑体"/>
          <w:bCs/>
          <w:sz w:val="32"/>
        </w:rPr>
      </w:pPr>
      <w:r>
        <w:rPr>
          <w:rFonts w:hint="eastAsia" w:eastAsia="黑体"/>
          <w:bCs/>
          <w:sz w:val="32"/>
        </w:rPr>
        <w:t>四、学制</w:t>
      </w:r>
    </w:p>
    <w:p w14:paraId="61EAD10C">
      <w:pPr>
        <w:spacing w:line="560" w:lineRule="exact"/>
        <w:ind w:firstLine="640" w:firstLineChars="200"/>
        <w:rPr>
          <w:rFonts w:eastAsia="仿宋_GB2312" w:cs="仿宋"/>
          <w:sz w:val="32"/>
          <w:szCs w:val="32"/>
        </w:rPr>
      </w:pPr>
      <w:r>
        <w:rPr>
          <w:rFonts w:eastAsia="仿宋_GB2312" w:cs="仿宋"/>
          <w:sz w:val="32"/>
          <w:szCs w:val="32"/>
        </w:rPr>
        <w:t>实行以基本学制为基础的弹性学习年限。基本学制为3年，其中最长学习年限为5年（含休学、延期等学习时间）。在学校规定的最长学习年限内未完成学业的，按照《聊城大学研究生管理规定》（聊大校发〔2017〕60号）执行。</w:t>
      </w:r>
    </w:p>
    <w:p w14:paraId="0862A87B">
      <w:pPr>
        <w:spacing w:line="560" w:lineRule="exact"/>
        <w:ind w:firstLine="640" w:firstLineChars="200"/>
        <w:rPr>
          <w:rFonts w:eastAsia="黑体"/>
          <w:bCs/>
          <w:sz w:val="32"/>
        </w:rPr>
      </w:pPr>
      <w:r>
        <w:rPr>
          <w:rFonts w:hint="eastAsia" w:eastAsia="黑体"/>
          <w:bCs/>
          <w:sz w:val="32"/>
        </w:rPr>
        <w:t>五、培养方式</w:t>
      </w:r>
    </w:p>
    <w:p w14:paraId="4BE63878">
      <w:pPr>
        <w:spacing w:line="560" w:lineRule="exact"/>
        <w:ind w:firstLine="640" w:firstLineChars="200"/>
        <w:rPr>
          <w:rFonts w:eastAsia="仿宋_GB2312" w:cs="仿宋"/>
          <w:sz w:val="32"/>
          <w:szCs w:val="32"/>
        </w:rPr>
      </w:pPr>
      <w:r>
        <w:rPr>
          <w:rFonts w:eastAsia="仿宋_GB2312" w:cs="仿宋"/>
          <w:sz w:val="32"/>
          <w:szCs w:val="32"/>
        </w:rPr>
        <w:t>本专业学位研究生采用全日制学习方式</w:t>
      </w:r>
      <w:r>
        <w:rPr>
          <w:rFonts w:hint="eastAsia" w:eastAsia="仿宋_GB2312" w:cs="仿宋"/>
          <w:sz w:val="32"/>
          <w:szCs w:val="32"/>
        </w:rPr>
        <w:t>，具体要求如下：</w:t>
      </w:r>
    </w:p>
    <w:p w14:paraId="18FB81AC">
      <w:pPr>
        <w:spacing w:line="560" w:lineRule="exact"/>
        <w:ind w:firstLine="640" w:firstLineChars="200"/>
        <w:rPr>
          <w:rFonts w:eastAsia="仿宋_GB2312" w:cs="仿宋"/>
          <w:sz w:val="32"/>
          <w:szCs w:val="32"/>
        </w:rPr>
      </w:pPr>
      <w:r>
        <w:rPr>
          <w:rFonts w:hint="eastAsia" w:eastAsia="仿宋_GB2312" w:cs="仿宋"/>
          <w:sz w:val="32"/>
          <w:szCs w:val="32"/>
        </w:rPr>
        <w:t>（一）采取课程学习、实践研究和学位论文等相结合的培养方式。</w:t>
      </w:r>
    </w:p>
    <w:p w14:paraId="3B11C131">
      <w:pPr>
        <w:spacing w:line="560" w:lineRule="exact"/>
        <w:ind w:firstLine="640" w:firstLineChars="200"/>
        <w:rPr>
          <w:rFonts w:eastAsia="仿宋_GB2312" w:cs="仿宋"/>
          <w:sz w:val="32"/>
          <w:szCs w:val="32"/>
        </w:rPr>
      </w:pPr>
      <w:r>
        <w:rPr>
          <w:rFonts w:hint="eastAsia" w:eastAsia="仿宋_GB2312" w:cs="仿宋"/>
          <w:sz w:val="32"/>
          <w:szCs w:val="32"/>
        </w:rPr>
        <w:t>（二）学位论文等实行导师负责制，鼓励由具有实践经验并有高级技能职称的校内外导师联合指导。</w:t>
      </w:r>
    </w:p>
    <w:p w14:paraId="69343CDF">
      <w:pPr>
        <w:spacing w:line="560" w:lineRule="exact"/>
        <w:ind w:firstLine="640" w:firstLineChars="200"/>
        <w:rPr>
          <w:rFonts w:eastAsia="仿宋_GB2312" w:cs="仿宋"/>
          <w:sz w:val="32"/>
          <w:szCs w:val="32"/>
        </w:rPr>
      </w:pPr>
      <w:r>
        <w:rPr>
          <w:rFonts w:hint="eastAsia" w:eastAsia="仿宋_GB2312" w:cs="仿宋"/>
          <w:sz w:val="32"/>
          <w:szCs w:val="32"/>
        </w:rPr>
        <w:t>六、学分要求</w:t>
      </w:r>
    </w:p>
    <w:p w14:paraId="7FF947EF">
      <w:pPr>
        <w:spacing w:line="560" w:lineRule="exact"/>
        <w:ind w:firstLine="640" w:firstLineChars="200"/>
        <w:rPr>
          <w:rFonts w:eastAsia="仿宋_GB2312" w:cs="仿宋"/>
          <w:sz w:val="32"/>
          <w:szCs w:val="32"/>
        </w:rPr>
      </w:pPr>
      <w:r>
        <w:rPr>
          <w:rFonts w:hint="eastAsia" w:eastAsia="仿宋_GB2312" w:cs="仿宋"/>
          <w:sz w:val="32"/>
          <w:szCs w:val="32"/>
        </w:rPr>
        <w:t>课程设置分为学位课程、非学位课程、培养环节、补修课程四个模块，总共40学分。</w:t>
      </w:r>
    </w:p>
    <w:p w14:paraId="19498A0C">
      <w:pPr>
        <w:spacing w:line="560" w:lineRule="exact"/>
        <w:ind w:firstLine="640" w:firstLineChars="200"/>
        <w:rPr>
          <w:rFonts w:eastAsia="仿宋_GB2312" w:cs="仿宋"/>
          <w:sz w:val="32"/>
          <w:szCs w:val="32"/>
        </w:rPr>
      </w:pPr>
      <w:r>
        <w:rPr>
          <w:rFonts w:hint="eastAsia" w:eastAsia="仿宋_GB2312" w:cs="仿宋"/>
          <w:sz w:val="32"/>
          <w:szCs w:val="32"/>
        </w:rPr>
        <w:t>学位课程（</w:t>
      </w:r>
      <w:r>
        <w:rPr>
          <w:rFonts w:eastAsia="仿宋_GB2312" w:cs="仿宋"/>
          <w:sz w:val="32"/>
          <w:szCs w:val="32"/>
        </w:rPr>
        <w:t>2</w:t>
      </w:r>
      <w:r>
        <w:rPr>
          <w:rFonts w:hint="eastAsia" w:eastAsia="仿宋_GB2312" w:cs="仿宋"/>
          <w:sz w:val="32"/>
          <w:szCs w:val="32"/>
        </w:rPr>
        <w:t>3学分）包括学位公共课（</w:t>
      </w:r>
      <w:r>
        <w:rPr>
          <w:rFonts w:eastAsia="仿宋_GB2312" w:cs="仿宋"/>
          <w:sz w:val="32"/>
          <w:szCs w:val="32"/>
        </w:rPr>
        <w:t>7</w:t>
      </w:r>
      <w:r>
        <w:rPr>
          <w:rFonts w:hint="eastAsia" w:eastAsia="仿宋_GB2312" w:cs="仿宋"/>
          <w:sz w:val="32"/>
          <w:szCs w:val="32"/>
        </w:rPr>
        <w:t>学分）、学位基础课（8学分）、学位专业课（8学分）。</w:t>
      </w:r>
    </w:p>
    <w:p w14:paraId="3541A954">
      <w:pPr>
        <w:spacing w:line="560" w:lineRule="exact"/>
        <w:ind w:firstLine="640" w:firstLineChars="200"/>
        <w:rPr>
          <w:rFonts w:eastAsia="仿宋_GB2312" w:cs="仿宋"/>
          <w:sz w:val="32"/>
          <w:szCs w:val="32"/>
        </w:rPr>
      </w:pPr>
      <w:r>
        <w:rPr>
          <w:rFonts w:hint="eastAsia" w:eastAsia="仿宋_GB2312" w:cs="仿宋"/>
          <w:sz w:val="32"/>
          <w:szCs w:val="32"/>
        </w:rPr>
        <w:t>非学位课程（10学分）包括公共选修课（</w:t>
      </w:r>
      <w:r>
        <w:rPr>
          <w:rFonts w:eastAsia="仿宋_GB2312" w:cs="仿宋"/>
          <w:sz w:val="32"/>
          <w:szCs w:val="32"/>
        </w:rPr>
        <w:t>4</w:t>
      </w:r>
      <w:r>
        <w:rPr>
          <w:rFonts w:hint="eastAsia" w:eastAsia="仿宋_GB2312" w:cs="仿宋"/>
          <w:sz w:val="32"/>
          <w:szCs w:val="32"/>
        </w:rPr>
        <w:t>学分）、专业选修课（</w:t>
      </w:r>
      <w:r>
        <w:rPr>
          <w:rFonts w:eastAsia="仿宋_GB2312" w:cs="仿宋"/>
          <w:sz w:val="32"/>
          <w:szCs w:val="32"/>
        </w:rPr>
        <w:t>6</w:t>
      </w:r>
      <w:r>
        <w:rPr>
          <w:rFonts w:hint="eastAsia" w:eastAsia="仿宋_GB2312" w:cs="仿宋"/>
          <w:sz w:val="32"/>
          <w:szCs w:val="32"/>
        </w:rPr>
        <w:t>学分）。</w:t>
      </w:r>
    </w:p>
    <w:p w14:paraId="3309D37C">
      <w:pPr>
        <w:spacing w:line="560" w:lineRule="exact"/>
        <w:ind w:firstLine="640" w:firstLineChars="200"/>
        <w:rPr>
          <w:rFonts w:eastAsia="仿宋_GB2312" w:cs="仿宋"/>
          <w:sz w:val="32"/>
          <w:szCs w:val="32"/>
        </w:rPr>
      </w:pPr>
      <w:r>
        <w:rPr>
          <w:rFonts w:hint="eastAsia" w:eastAsia="仿宋_GB2312" w:cs="仿宋"/>
          <w:sz w:val="32"/>
          <w:szCs w:val="32"/>
        </w:rPr>
        <w:t>培养环节（7学分）包括前沿讲座（1学分）、专业实践与考核（5学分）、中期筛选（1学分）。</w:t>
      </w:r>
    </w:p>
    <w:p w14:paraId="5D0D8B7A">
      <w:pPr>
        <w:spacing w:line="560" w:lineRule="exact"/>
        <w:ind w:firstLine="640" w:firstLineChars="200"/>
        <w:rPr>
          <w:rFonts w:eastAsia="仿宋_GB2312" w:cs="仿宋"/>
          <w:sz w:val="32"/>
          <w:szCs w:val="32"/>
        </w:rPr>
      </w:pPr>
      <w:r>
        <w:rPr>
          <w:rFonts w:hint="eastAsia" w:eastAsia="仿宋_GB2312" w:cs="仿宋"/>
          <w:sz w:val="32"/>
          <w:szCs w:val="32"/>
        </w:rPr>
        <w:t>补修课程不计学分，同等学历或跨专业报考的学生需补修本专业本科主干课程3门。</w:t>
      </w:r>
    </w:p>
    <w:p w14:paraId="55D3E8A6">
      <w:pPr>
        <w:spacing w:line="560" w:lineRule="exact"/>
        <w:ind w:firstLine="640" w:firstLineChars="200"/>
        <w:rPr>
          <w:rFonts w:eastAsia="黑体"/>
          <w:bCs/>
          <w:sz w:val="32"/>
        </w:rPr>
      </w:pPr>
      <w:r>
        <w:rPr>
          <w:rFonts w:hint="eastAsia" w:eastAsia="黑体"/>
          <w:bCs/>
          <w:sz w:val="32"/>
        </w:rPr>
        <w:t>七、课程设置</w:t>
      </w:r>
    </w:p>
    <w:p w14:paraId="3D910418">
      <w:pPr>
        <w:spacing w:line="560" w:lineRule="exact"/>
        <w:ind w:firstLine="640" w:firstLineChars="200"/>
        <w:rPr>
          <w:rFonts w:eastAsia="仿宋_GB2312" w:cs="仿宋"/>
          <w:sz w:val="32"/>
          <w:szCs w:val="32"/>
        </w:rPr>
      </w:pPr>
      <w:r>
        <w:rPr>
          <w:rFonts w:hint="eastAsia" w:eastAsia="仿宋_GB2312" w:cs="仿宋"/>
          <w:sz w:val="32"/>
          <w:szCs w:val="32"/>
        </w:rPr>
        <w:t>（一）基本要求</w:t>
      </w:r>
    </w:p>
    <w:p w14:paraId="658B93B1">
      <w:pPr>
        <w:spacing w:line="560" w:lineRule="exact"/>
        <w:ind w:firstLine="640" w:firstLineChars="200"/>
        <w:rPr>
          <w:rFonts w:eastAsia="仿宋_GB2312" w:cs="仿宋"/>
          <w:sz w:val="32"/>
          <w:szCs w:val="32"/>
        </w:rPr>
      </w:pPr>
      <w:r>
        <w:rPr>
          <w:rFonts w:hint="eastAsia" w:eastAsia="仿宋_GB2312" w:cs="仿宋"/>
          <w:sz w:val="32"/>
          <w:szCs w:val="32"/>
        </w:rPr>
        <w:t>本培养方案课程体系的优化与设置建立在充分调研和讨论的基础上，能够保持一定的稳定性和延续性。注重专业化、体系化与科学化，学位课程聚焦政治理论、专业外语、学科前沿及学科核心能力培养，非学位课程注重学科交叉领域知识拓展，培养环节强化实践创新能力与科研规范训练，补修课程则依据学生学科背景差异化设置（不计入总学分）。</w:t>
      </w:r>
    </w:p>
    <w:p w14:paraId="0CDE5933">
      <w:pPr>
        <w:spacing w:line="560" w:lineRule="exact"/>
        <w:ind w:firstLine="640" w:firstLineChars="200"/>
        <w:rPr>
          <w:rFonts w:eastAsia="仿宋_GB2312" w:cs="仿宋"/>
          <w:sz w:val="32"/>
          <w:szCs w:val="32"/>
        </w:rPr>
      </w:pPr>
      <w:r>
        <w:rPr>
          <w:rFonts w:hint="eastAsia" w:eastAsia="仿宋_GB2312" w:cs="仿宋"/>
          <w:sz w:val="32"/>
          <w:szCs w:val="32"/>
        </w:rPr>
        <w:t>课程每16学时为1学分</w:t>
      </w:r>
      <w:r>
        <w:rPr>
          <w:rFonts w:eastAsia="仿宋_GB2312" w:cs="仿宋"/>
          <w:sz w:val="32"/>
          <w:szCs w:val="32"/>
        </w:rPr>
        <w:t>，实验类课程32学时为1学分</w:t>
      </w:r>
      <w:r>
        <w:rPr>
          <w:rFonts w:hint="eastAsia" w:eastAsia="仿宋_GB2312" w:cs="仿宋"/>
          <w:sz w:val="32"/>
          <w:szCs w:val="32"/>
        </w:rPr>
        <w:t>。课程设置严格执行《教育部关于改进和加强研究生课程建设的意见》（教研〔2014〕5号）和《专业学位研究生核心课程指南（试行）》等文件要求。所有课程教学计划在一年内完成。</w:t>
      </w:r>
    </w:p>
    <w:p w14:paraId="7BBF3AFD">
      <w:pPr>
        <w:spacing w:line="560" w:lineRule="exact"/>
        <w:ind w:firstLine="640" w:firstLineChars="200"/>
        <w:rPr>
          <w:rFonts w:eastAsia="仿宋_GB2312" w:cs="仿宋"/>
          <w:sz w:val="32"/>
          <w:szCs w:val="32"/>
        </w:rPr>
      </w:pPr>
      <w:r>
        <w:rPr>
          <w:rFonts w:hint="eastAsia" w:eastAsia="仿宋_GB2312" w:cs="仿宋"/>
          <w:sz w:val="32"/>
          <w:szCs w:val="32"/>
        </w:rPr>
        <w:t>（二）课程类型与学分</w:t>
      </w:r>
    </w:p>
    <w:p w14:paraId="7246F8BD">
      <w:pPr>
        <w:spacing w:line="560" w:lineRule="exact"/>
        <w:ind w:firstLine="640" w:firstLineChars="200"/>
        <w:rPr>
          <w:rFonts w:eastAsia="仿宋_GB2312" w:cs="仿宋"/>
          <w:sz w:val="32"/>
          <w:szCs w:val="32"/>
        </w:rPr>
      </w:pPr>
      <w:r>
        <w:rPr>
          <w:rFonts w:hint="eastAsia" w:eastAsia="仿宋_GB2312" w:cs="仿宋"/>
          <w:sz w:val="32"/>
          <w:szCs w:val="32"/>
        </w:rPr>
        <w:t>1.学位课（23学分）</w:t>
      </w:r>
    </w:p>
    <w:p w14:paraId="27C15C2E">
      <w:pPr>
        <w:spacing w:line="560" w:lineRule="exact"/>
        <w:ind w:firstLine="640" w:firstLineChars="200"/>
        <w:rPr>
          <w:rFonts w:eastAsia="仿宋_GB2312" w:cs="仿宋"/>
          <w:sz w:val="32"/>
          <w:szCs w:val="32"/>
        </w:rPr>
      </w:pPr>
      <w:r>
        <w:rPr>
          <w:rFonts w:hint="eastAsia" w:eastAsia="仿宋_GB2312" w:cs="仿宋"/>
          <w:sz w:val="32"/>
          <w:szCs w:val="32"/>
        </w:rPr>
        <w:t>（1）公共必修课（7学分）</w:t>
      </w:r>
    </w:p>
    <w:p w14:paraId="3FFA0B61">
      <w:pPr>
        <w:spacing w:line="560" w:lineRule="exact"/>
        <w:ind w:firstLine="640" w:firstLineChars="200"/>
        <w:rPr>
          <w:rFonts w:eastAsia="仿宋_GB2312" w:cs="仿宋"/>
          <w:sz w:val="32"/>
          <w:szCs w:val="32"/>
        </w:rPr>
      </w:pPr>
      <w:r>
        <w:rPr>
          <w:rFonts w:hint="eastAsia" w:eastAsia="仿宋_GB2312" w:cs="仿宋"/>
          <w:sz w:val="32"/>
          <w:szCs w:val="32"/>
        </w:rPr>
        <w:t>①新时代中国特色社会主义理论与实践（2学分）</w:t>
      </w:r>
    </w:p>
    <w:p w14:paraId="76936AB1">
      <w:pPr>
        <w:spacing w:line="560" w:lineRule="exact"/>
        <w:ind w:firstLine="640" w:firstLineChars="200"/>
        <w:rPr>
          <w:rFonts w:eastAsia="仿宋_GB2312" w:cs="仿宋"/>
          <w:sz w:val="32"/>
          <w:szCs w:val="32"/>
        </w:rPr>
      </w:pPr>
      <w:r>
        <w:rPr>
          <w:rFonts w:hint="eastAsia" w:eastAsia="仿宋_GB2312" w:cs="仿宋"/>
          <w:sz w:val="32"/>
          <w:szCs w:val="32"/>
        </w:rPr>
        <w:t>②自然辩证法概论（1学分）</w:t>
      </w:r>
    </w:p>
    <w:p w14:paraId="1070FC11">
      <w:pPr>
        <w:spacing w:line="560" w:lineRule="exact"/>
        <w:ind w:firstLine="640" w:firstLineChars="200"/>
        <w:rPr>
          <w:rFonts w:eastAsia="仿宋_GB2312" w:cs="仿宋"/>
          <w:sz w:val="32"/>
          <w:szCs w:val="32"/>
        </w:rPr>
      </w:pPr>
      <w:r>
        <w:rPr>
          <w:rFonts w:hint="eastAsia" w:eastAsia="仿宋_GB2312" w:cs="仿宋"/>
          <w:sz w:val="32"/>
          <w:szCs w:val="32"/>
        </w:rPr>
        <w:t>③习近平总书记关于教育的重要论述研究（1学分）</w:t>
      </w:r>
    </w:p>
    <w:p w14:paraId="0072E28F">
      <w:pPr>
        <w:spacing w:line="560" w:lineRule="exact"/>
        <w:ind w:firstLine="640" w:firstLineChars="200"/>
        <w:rPr>
          <w:rFonts w:eastAsia="仿宋_GB2312" w:cs="仿宋"/>
          <w:sz w:val="32"/>
          <w:szCs w:val="32"/>
        </w:rPr>
      </w:pPr>
      <w:r>
        <w:rPr>
          <w:rFonts w:hint="eastAsia" w:eastAsia="仿宋_GB2312" w:cs="仿宋"/>
          <w:sz w:val="32"/>
          <w:szCs w:val="32"/>
        </w:rPr>
        <w:t>④专硕公共英语（3学分）</w:t>
      </w:r>
    </w:p>
    <w:p w14:paraId="0D74AD2F">
      <w:pPr>
        <w:spacing w:line="560" w:lineRule="exact"/>
        <w:ind w:firstLine="640" w:firstLineChars="200"/>
        <w:rPr>
          <w:rFonts w:eastAsia="仿宋_GB2312" w:cs="仿宋"/>
          <w:sz w:val="32"/>
          <w:szCs w:val="32"/>
        </w:rPr>
      </w:pPr>
      <w:r>
        <w:rPr>
          <w:rFonts w:hint="eastAsia" w:eastAsia="仿宋_GB2312" w:cs="仿宋"/>
          <w:sz w:val="32"/>
          <w:szCs w:val="32"/>
        </w:rPr>
        <w:t>（2）学位基础课（8学分）</w:t>
      </w:r>
    </w:p>
    <w:p w14:paraId="5024965A">
      <w:pPr>
        <w:spacing w:line="560" w:lineRule="exact"/>
        <w:ind w:firstLine="640" w:firstLineChars="200"/>
        <w:rPr>
          <w:rFonts w:eastAsia="仿宋_GB2312" w:cs="仿宋"/>
          <w:sz w:val="32"/>
          <w:szCs w:val="32"/>
        </w:rPr>
      </w:pPr>
      <w:r>
        <w:rPr>
          <w:rFonts w:hint="eastAsia" w:eastAsia="仿宋_GB2312" w:cs="仿宋"/>
          <w:sz w:val="32"/>
          <w:szCs w:val="32"/>
        </w:rPr>
        <w:t>①生产兽医应用（3学分）</w:t>
      </w:r>
    </w:p>
    <w:p w14:paraId="26A8CFF7">
      <w:pPr>
        <w:spacing w:line="560" w:lineRule="exact"/>
        <w:ind w:firstLine="640" w:firstLineChars="200"/>
        <w:rPr>
          <w:rFonts w:eastAsia="仿宋_GB2312" w:cs="仿宋"/>
          <w:sz w:val="32"/>
          <w:szCs w:val="32"/>
        </w:rPr>
      </w:pPr>
      <w:r>
        <w:rPr>
          <w:rFonts w:hint="eastAsia" w:eastAsia="仿宋_GB2312" w:cs="仿宋"/>
          <w:sz w:val="32"/>
          <w:szCs w:val="32"/>
        </w:rPr>
        <w:t>②智慧兽医研究（3学分）</w:t>
      </w:r>
    </w:p>
    <w:p w14:paraId="06CC94D3">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3 \* GB3 </w:instrText>
      </w:r>
      <w:r>
        <w:rPr>
          <w:rFonts w:hint="eastAsia" w:eastAsia="仿宋_GB2312" w:cs="仿宋"/>
          <w:sz w:val="32"/>
          <w:szCs w:val="32"/>
        </w:rPr>
        <w:fldChar w:fldCharType="separate"/>
      </w:r>
      <w:r>
        <w:rPr>
          <w:rFonts w:hint="eastAsia" w:eastAsia="仿宋_GB2312" w:cs="仿宋"/>
          <w:sz w:val="32"/>
          <w:szCs w:val="32"/>
        </w:rPr>
        <w:t>③</w:t>
      </w:r>
      <w:r>
        <w:rPr>
          <w:rFonts w:hint="eastAsia" w:eastAsia="仿宋_GB2312" w:cs="仿宋"/>
          <w:sz w:val="32"/>
          <w:szCs w:val="32"/>
        </w:rPr>
        <w:fldChar w:fldCharType="end"/>
      </w:r>
      <w:r>
        <w:rPr>
          <w:rFonts w:hint="eastAsia" w:eastAsia="仿宋_GB2312" w:cs="仿宋"/>
          <w:sz w:val="32"/>
          <w:szCs w:val="32"/>
        </w:rPr>
        <w:t>论文写作与学术规范（2学分）</w:t>
      </w:r>
      <w:r>
        <w:rPr>
          <w:rFonts w:hint="eastAsia" w:eastAsia="仿宋_GB2312" w:cs="仿宋"/>
          <w:sz w:val="32"/>
          <w:szCs w:val="32"/>
        </w:rPr>
        <w:tab/>
      </w:r>
    </w:p>
    <w:p w14:paraId="4D404DE8">
      <w:pPr>
        <w:spacing w:line="560" w:lineRule="exact"/>
        <w:ind w:firstLine="640" w:firstLineChars="200"/>
        <w:rPr>
          <w:rFonts w:eastAsia="仿宋_GB2312" w:cs="仿宋"/>
          <w:sz w:val="32"/>
          <w:szCs w:val="32"/>
        </w:rPr>
      </w:pPr>
      <w:r>
        <w:rPr>
          <w:rFonts w:hint="eastAsia" w:eastAsia="仿宋_GB2312" w:cs="仿宋"/>
          <w:sz w:val="32"/>
          <w:szCs w:val="32"/>
        </w:rPr>
        <w:t>（3）学位专业课（8学分）</w:t>
      </w:r>
    </w:p>
    <w:p w14:paraId="504318E2">
      <w:pPr>
        <w:spacing w:line="560" w:lineRule="exact"/>
        <w:ind w:firstLine="640" w:firstLineChars="200"/>
        <w:rPr>
          <w:rFonts w:hint="eastAsia" w:eastAsia="仿宋_GB2312" w:cs="仿宋"/>
          <w:sz w:val="32"/>
          <w:szCs w:val="32"/>
        </w:rPr>
      </w:pPr>
      <w:r>
        <w:rPr>
          <w:rFonts w:hint="eastAsia" w:eastAsia="仿宋_GB2312" w:cs="仿宋"/>
          <w:sz w:val="32"/>
          <w:szCs w:val="32"/>
        </w:rPr>
        <w:t>①兽医病理学专题（2学分）</w:t>
      </w:r>
    </w:p>
    <w:p w14:paraId="4E42F87A">
      <w:pPr>
        <w:spacing w:line="560" w:lineRule="exact"/>
        <w:ind w:firstLine="640" w:firstLineChars="200"/>
      </w:pPr>
      <w:r>
        <w:rPr>
          <w:rFonts w:hint="eastAsia" w:eastAsia="仿宋_GB2312" w:cs="仿宋"/>
          <w:sz w:val="32"/>
          <w:szCs w:val="32"/>
        </w:rPr>
        <w:t>②免疫技术及其应用（2学分）</w:t>
      </w:r>
    </w:p>
    <w:p w14:paraId="57492CB2">
      <w:pPr>
        <w:spacing w:line="560" w:lineRule="exact"/>
        <w:ind w:firstLine="640" w:firstLineChars="200"/>
        <w:rPr>
          <w:rFonts w:hint="eastAsia"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3 \* GB3 </w:instrText>
      </w:r>
      <w:r>
        <w:rPr>
          <w:rFonts w:hint="eastAsia" w:eastAsia="仿宋_GB2312" w:cs="仿宋"/>
          <w:sz w:val="32"/>
          <w:szCs w:val="32"/>
        </w:rPr>
        <w:fldChar w:fldCharType="separate"/>
      </w:r>
      <w:r>
        <w:rPr>
          <w:rFonts w:hint="eastAsia" w:eastAsia="仿宋_GB2312" w:cs="仿宋"/>
          <w:sz w:val="32"/>
          <w:szCs w:val="32"/>
        </w:rPr>
        <w:t>③</w:t>
      </w:r>
      <w:r>
        <w:rPr>
          <w:rFonts w:hint="eastAsia" w:eastAsia="仿宋_GB2312" w:cs="仿宋"/>
          <w:sz w:val="32"/>
          <w:szCs w:val="32"/>
        </w:rPr>
        <w:fldChar w:fldCharType="end"/>
      </w:r>
      <w:r>
        <w:rPr>
          <w:rFonts w:hint="eastAsia" w:eastAsia="仿宋_GB2312" w:cs="仿宋"/>
          <w:sz w:val="32"/>
          <w:szCs w:val="32"/>
        </w:rPr>
        <w:t>动物检疫与兽医法规（2学分）</w:t>
      </w:r>
    </w:p>
    <w:p w14:paraId="192A083F">
      <w:pPr>
        <w:spacing w:line="560" w:lineRule="exact"/>
        <w:ind w:firstLine="640" w:firstLineChars="200"/>
        <w:rPr>
          <w:rFonts w:eastAsia="仿宋_GB2312" w:cs="仿宋"/>
          <w:sz w:val="32"/>
          <w:szCs w:val="32"/>
        </w:rPr>
      </w:pPr>
      <w:r>
        <w:rPr>
          <w:rFonts w:hint="eastAsia" w:eastAsia="仿宋_GB2312" w:cs="仿宋"/>
          <w:sz w:val="32"/>
          <w:szCs w:val="32"/>
        </w:rPr>
        <w:t>④兽医流行病学（2学分）</w:t>
      </w:r>
    </w:p>
    <w:p w14:paraId="00879919">
      <w:pPr>
        <w:spacing w:line="560" w:lineRule="exact"/>
        <w:ind w:firstLine="640" w:firstLineChars="200"/>
        <w:rPr>
          <w:rFonts w:eastAsia="仿宋_GB2312" w:cs="仿宋"/>
          <w:sz w:val="32"/>
          <w:szCs w:val="32"/>
        </w:rPr>
      </w:pPr>
      <w:r>
        <w:rPr>
          <w:rFonts w:hint="eastAsia" w:eastAsia="仿宋_GB2312" w:cs="仿宋"/>
          <w:sz w:val="32"/>
          <w:szCs w:val="32"/>
        </w:rPr>
        <w:t>2.非学位课程（10学分）</w:t>
      </w:r>
    </w:p>
    <w:p w14:paraId="018FB68D">
      <w:pPr>
        <w:spacing w:line="560" w:lineRule="exact"/>
        <w:ind w:firstLine="640" w:firstLineChars="200"/>
        <w:rPr>
          <w:rFonts w:eastAsia="仿宋_GB2312" w:cs="仿宋"/>
          <w:sz w:val="32"/>
          <w:szCs w:val="32"/>
        </w:rPr>
      </w:pPr>
      <w:r>
        <w:rPr>
          <w:rFonts w:hint="eastAsia" w:eastAsia="仿宋_GB2312" w:cs="仿宋"/>
          <w:sz w:val="32"/>
          <w:szCs w:val="32"/>
        </w:rPr>
        <w:t>（1）专业选修课（6学分）</w:t>
      </w:r>
    </w:p>
    <w:p w14:paraId="34FBA581">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1 \* GB3 \* MERGEFORMAT </w:instrText>
      </w:r>
      <w:r>
        <w:rPr>
          <w:rFonts w:hint="eastAsia" w:eastAsia="仿宋_GB2312" w:cs="仿宋"/>
          <w:sz w:val="32"/>
          <w:szCs w:val="32"/>
        </w:rPr>
        <w:fldChar w:fldCharType="separate"/>
      </w:r>
      <w:r>
        <w:rPr>
          <w:rFonts w:hint="eastAsia" w:eastAsia="仿宋_GB2312" w:cs="仿宋"/>
          <w:sz w:val="32"/>
          <w:szCs w:val="32"/>
        </w:rPr>
        <w:t>①</w:t>
      </w:r>
      <w:r>
        <w:rPr>
          <w:rFonts w:hint="eastAsia" w:eastAsia="仿宋_GB2312" w:cs="仿宋"/>
          <w:sz w:val="32"/>
          <w:szCs w:val="32"/>
        </w:rPr>
        <w:fldChar w:fldCharType="end"/>
      </w:r>
      <w:r>
        <w:rPr>
          <w:rFonts w:hint="eastAsia" w:eastAsia="仿宋_GB2312" w:cs="仿宋"/>
          <w:sz w:val="32"/>
          <w:szCs w:val="32"/>
        </w:rPr>
        <w:t>动物疫病防控（2学分）,所有方向</w:t>
      </w:r>
    </w:p>
    <w:p w14:paraId="28FDD6BB">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2 \* GB3 \* MERGEFORMAT </w:instrText>
      </w:r>
      <w:r>
        <w:rPr>
          <w:rFonts w:hint="eastAsia" w:eastAsia="仿宋_GB2312" w:cs="仿宋"/>
          <w:sz w:val="32"/>
          <w:szCs w:val="32"/>
        </w:rPr>
        <w:fldChar w:fldCharType="separate"/>
      </w:r>
      <w:r>
        <w:rPr>
          <w:rFonts w:hint="eastAsia" w:eastAsia="仿宋_GB2312" w:cs="仿宋"/>
          <w:sz w:val="32"/>
          <w:szCs w:val="32"/>
        </w:rPr>
        <w:t>②</w:t>
      </w:r>
      <w:r>
        <w:rPr>
          <w:rFonts w:hint="eastAsia" w:eastAsia="仿宋_GB2312" w:cs="仿宋"/>
          <w:sz w:val="32"/>
          <w:szCs w:val="32"/>
        </w:rPr>
        <w:fldChar w:fldCharType="end"/>
      </w:r>
      <w:r>
        <w:rPr>
          <w:rFonts w:hint="eastAsia" w:eastAsia="仿宋_GB2312" w:cs="仿宋"/>
          <w:sz w:val="32"/>
          <w:szCs w:val="32"/>
        </w:rPr>
        <w:t>兽医生物安全（2学分）,所有方向</w:t>
      </w:r>
    </w:p>
    <w:p w14:paraId="455604C8">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3 \* GB3 \* MERGEFORMAT </w:instrText>
      </w:r>
      <w:r>
        <w:rPr>
          <w:rFonts w:hint="eastAsia" w:eastAsia="仿宋_GB2312" w:cs="仿宋"/>
          <w:sz w:val="32"/>
          <w:szCs w:val="32"/>
        </w:rPr>
        <w:fldChar w:fldCharType="separate"/>
      </w:r>
      <w:r>
        <w:rPr>
          <w:rFonts w:hint="eastAsia" w:eastAsia="仿宋_GB2312" w:cs="仿宋"/>
          <w:sz w:val="32"/>
          <w:szCs w:val="32"/>
        </w:rPr>
        <w:t>③</w:t>
      </w:r>
      <w:r>
        <w:rPr>
          <w:rFonts w:hint="eastAsia" w:eastAsia="仿宋_GB2312" w:cs="仿宋"/>
          <w:sz w:val="32"/>
          <w:szCs w:val="32"/>
        </w:rPr>
        <w:fldChar w:fldCharType="end"/>
      </w:r>
      <w:r>
        <w:rPr>
          <w:rFonts w:hint="eastAsia" w:eastAsia="仿宋_GB2312" w:cs="仿宋"/>
          <w:sz w:val="32"/>
          <w:szCs w:val="32"/>
        </w:rPr>
        <w:t>宠物疾病诊疗（2学分）,方向1必选</w:t>
      </w:r>
    </w:p>
    <w:p w14:paraId="1090CCDF">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4 \* GB3 </w:instrText>
      </w:r>
      <w:r>
        <w:rPr>
          <w:rFonts w:hint="eastAsia" w:eastAsia="仿宋_GB2312" w:cs="仿宋"/>
          <w:sz w:val="32"/>
          <w:szCs w:val="32"/>
        </w:rPr>
        <w:fldChar w:fldCharType="separate"/>
      </w:r>
      <w:r>
        <w:rPr>
          <w:rFonts w:hint="eastAsia" w:eastAsia="仿宋_GB2312" w:cs="仿宋"/>
          <w:sz w:val="32"/>
          <w:szCs w:val="32"/>
        </w:rPr>
        <w:t>④</w:t>
      </w:r>
      <w:r>
        <w:rPr>
          <w:rFonts w:hint="eastAsia" w:eastAsia="仿宋_GB2312" w:cs="仿宋"/>
          <w:sz w:val="32"/>
          <w:szCs w:val="32"/>
        </w:rPr>
        <w:fldChar w:fldCharType="end"/>
      </w:r>
      <w:r>
        <w:rPr>
          <w:rFonts w:hint="eastAsia" w:eastAsia="仿宋_GB2312" w:cs="仿宋"/>
          <w:sz w:val="32"/>
          <w:szCs w:val="32"/>
        </w:rPr>
        <w:t>企业管理与创业专题（2学分）,所有方向</w:t>
      </w:r>
    </w:p>
    <w:p w14:paraId="5164030B">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5 \* GB3 </w:instrText>
      </w:r>
      <w:r>
        <w:rPr>
          <w:rFonts w:hint="eastAsia" w:eastAsia="仿宋_GB2312" w:cs="仿宋"/>
          <w:sz w:val="32"/>
          <w:szCs w:val="32"/>
        </w:rPr>
        <w:fldChar w:fldCharType="separate"/>
      </w:r>
      <w:r>
        <w:rPr>
          <w:rFonts w:hint="eastAsia" w:eastAsia="仿宋_GB2312" w:cs="仿宋"/>
          <w:sz w:val="32"/>
          <w:szCs w:val="32"/>
        </w:rPr>
        <w:t>⑤</w:t>
      </w:r>
      <w:r>
        <w:rPr>
          <w:rFonts w:hint="eastAsia" w:eastAsia="仿宋_GB2312" w:cs="仿宋"/>
          <w:sz w:val="32"/>
          <w:szCs w:val="32"/>
        </w:rPr>
        <w:fldChar w:fldCharType="end"/>
      </w:r>
      <w:r>
        <w:rPr>
          <w:rFonts w:hint="eastAsia" w:eastAsia="仿宋_GB2312" w:cs="仿宋"/>
          <w:sz w:val="32"/>
          <w:szCs w:val="32"/>
        </w:rPr>
        <w:t>新型兽药创制专题（2学分）,方向4必选</w:t>
      </w:r>
    </w:p>
    <w:p w14:paraId="478D1CAB">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6 \* GB3 </w:instrText>
      </w:r>
      <w:r>
        <w:rPr>
          <w:rFonts w:hint="eastAsia" w:eastAsia="仿宋_GB2312" w:cs="仿宋"/>
          <w:sz w:val="32"/>
          <w:szCs w:val="32"/>
        </w:rPr>
        <w:fldChar w:fldCharType="separate"/>
      </w:r>
      <w:r>
        <w:rPr>
          <w:rFonts w:hint="eastAsia" w:eastAsia="仿宋_GB2312" w:cs="仿宋"/>
          <w:sz w:val="32"/>
          <w:szCs w:val="32"/>
        </w:rPr>
        <w:t>⑥</w:t>
      </w:r>
      <w:r>
        <w:rPr>
          <w:rFonts w:hint="eastAsia" w:eastAsia="仿宋_GB2312" w:cs="仿宋"/>
          <w:sz w:val="32"/>
          <w:szCs w:val="32"/>
        </w:rPr>
        <w:fldChar w:fldCharType="end"/>
      </w:r>
      <w:r>
        <w:rPr>
          <w:rFonts w:hint="eastAsia" w:eastAsia="仿宋_GB2312" w:cs="仿宋"/>
          <w:sz w:val="32"/>
          <w:szCs w:val="32"/>
        </w:rPr>
        <w:t>兽医检测技术与应用（2学分）,所有方向</w:t>
      </w:r>
    </w:p>
    <w:p w14:paraId="6B3B4AD3">
      <w:pPr>
        <w:spacing w:line="560" w:lineRule="exact"/>
        <w:ind w:firstLine="640" w:firstLineChars="200"/>
        <w:rPr>
          <w:rFonts w:eastAsia="仿宋_GB2312" w:cs="仿宋"/>
          <w:sz w:val="32"/>
          <w:szCs w:val="32"/>
        </w:rPr>
      </w:pPr>
      <w:r>
        <w:rPr>
          <w:rFonts w:hint="eastAsia" w:eastAsia="仿宋_GB2312" w:cs="仿宋"/>
          <w:sz w:val="32"/>
          <w:szCs w:val="32"/>
        </w:rPr>
        <w:t>专业选修课主要是各研究方向的前沿性和专题性课程，需选修6学分。</w:t>
      </w:r>
    </w:p>
    <w:p w14:paraId="5CB28161">
      <w:pPr>
        <w:spacing w:line="560" w:lineRule="exact"/>
        <w:ind w:firstLine="640" w:firstLineChars="200"/>
        <w:rPr>
          <w:rFonts w:eastAsia="仿宋_GB2312" w:cs="仿宋"/>
          <w:sz w:val="32"/>
          <w:szCs w:val="32"/>
        </w:rPr>
      </w:pPr>
      <w:r>
        <w:rPr>
          <w:rFonts w:hint="eastAsia" w:eastAsia="仿宋_GB2312" w:cs="仿宋"/>
          <w:sz w:val="32"/>
          <w:szCs w:val="32"/>
        </w:rPr>
        <w:t>（2）公共选修课（4学分）</w:t>
      </w:r>
    </w:p>
    <w:p w14:paraId="471A427A">
      <w:pPr>
        <w:spacing w:line="560" w:lineRule="exact"/>
        <w:ind w:firstLine="640" w:firstLineChars="200"/>
        <w:rPr>
          <w:rFonts w:eastAsia="仿宋_GB2312" w:cs="仿宋"/>
          <w:sz w:val="32"/>
          <w:szCs w:val="32"/>
        </w:rPr>
      </w:pPr>
      <w:r>
        <w:rPr>
          <w:rFonts w:hint="eastAsia" w:eastAsia="仿宋_GB2312" w:cs="仿宋"/>
          <w:sz w:val="32"/>
          <w:szCs w:val="32"/>
        </w:rPr>
        <w:t>线下课程6门，至少选修1门：</w:t>
      </w:r>
    </w:p>
    <w:p w14:paraId="55750CCC">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1 \* GB3 \* MERGEFORMAT </w:instrText>
      </w:r>
      <w:r>
        <w:rPr>
          <w:rFonts w:hint="eastAsia" w:eastAsia="仿宋_GB2312" w:cs="仿宋"/>
          <w:sz w:val="32"/>
          <w:szCs w:val="32"/>
        </w:rPr>
        <w:fldChar w:fldCharType="separate"/>
      </w:r>
      <w:r>
        <w:rPr>
          <w:rFonts w:hint="eastAsia" w:eastAsia="仿宋_GB2312" w:cs="仿宋"/>
          <w:sz w:val="32"/>
          <w:szCs w:val="32"/>
        </w:rPr>
        <w:t>①</w:t>
      </w:r>
      <w:r>
        <w:rPr>
          <w:rFonts w:hint="eastAsia" w:eastAsia="仿宋_GB2312" w:cs="仿宋"/>
          <w:sz w:val="32"/>
          <w:szCs w:val="32"/>
        </w:rPr>
        <w:fldChar w:fldCharType="end"/>
      </w:r>
      <w:r>
        <w:rPr>
          <w:rFonts w:hint="eastAsia" w:eastAsia="仿宋_GB2312" w:cs="仿宋"/>
          <w:sz w:val="32"/>
          <w:szCs w:val="32"/>
        </w:rPr>
        <w:t>生活中的美学（2学分）</w:t>
      </w:r>
    </w:p>
    <w:p w14:paraId="0678DD15">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2 \* GB3 \* MERGEFORMAT </w:instrText>
      </w:r>
      <w:r>
        <w:rPr>
          <w:rFonts w:hint="eastAsia" w:eastAsia="仿宋_GB2312" w:cs="仿宋"/>
          <w:sz w:val="32"/>
          <w:szCs w:val="32"/>
        </w:rPr>
        <w:fldChar w:fldCharType="separate"/>
      </w:r>
      <w:r>
        <w:rPr>
          <w:rFonts w:hint="eastAsia" w:eastAsia="仿宋_GB2312" w:cs="仿宋"/>
          <w:sz w:val="32"/>
          <w:szCs w:val="32"/>
        </w:rPr>
        <w:t>②</w:t>
      </w:r>
      <w:r>
        <w:rPr>
          <w:rFonts w:hint="eastAsia" w:eastAsia="仿宋_GB2312" w:cs="仿宋"/>
          <w:sz w:val="32"/>
          <w:szCs w:val="32"/>
        </w:rPr>
        <w:fldChar w:fldCharType="end"/>
      </w:r>
      <w:r>
        <w:rPr>
          <w:rFonts w:hint="eastAsia" w:eastAsia="仿宋_GB2312" w:cs="仿宋"/>
          <w:sz w:val="32"/>
          <w:szCs w:val="32"/>
        </w:rPr>
        <w:t>聊城城市历史与文化（2学分）</w:t>
      </w:r>
    </w:p>
    <w:p w14:paraId="65C6227A">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3 \* GB3 \* MERGEFORMAT </w:instrText>
      </w:r>
      <w:r>
        <w:rPr>
          <w:rFonts w:hint="eastAsia" w:eastAsia="仿宋_GB2312" w:cs="仿宋"/>
          <w:sz w:val="32"/>
          <w:szCs w:val="32"/>
        </w:rPr>
        <w:fldChar w:fldCharType="separate"/>
      </w:r>
      <w:r>
        <w:rPr>
          <w:rFonts w:hint="eastAsia" w:eastAsia="仿宋_GB2312" w:cs="仿宋"/>
          <w:sz w:val="32"/>
          <w:szCs w:val="32"/>
        </w:rPr>
        <w:t>③</w:t>
      </w:r>
      <w:r>
        <w:rPr>
          <w:rFonts w:hint="eastAsia" w:eastAsia="仿宋_GB2312" w:cs="仿宋"/>
          <w:sz w:val="32"/>
          <w:szCs w:val="32"/>
        </w:rPr>
        <w:fldChar w:fldCharType="end"/>
      </w:r>
      <w:r>
        <w:rPr>
          <w:rFonts w:hint="eastAsia" w:eastAsia="仿宋_GB2312" w:cs="仿宋"/>
          <w:sz w:val="32"/>
          <w:szCs w:val="32"/>
        </w:rPr>
        <w:t>研究生特色体育（2学分）</w:t>
      </w:r>
    </w:p>
    <w:p w14:paraId="7D2596D5">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4 \* GB3 </w:instrText>
      </w:r>
      <w:r>
        <w:rPr>
          <w:rFonts w:hint="eastAsia" w:eastAsia="仿宋_GB2312" w:cs="仿宋"/>
          <w:sz w:val="32"/>
          <w:szCs w:val="32"/>
        </w:rPr>
        <w:fldChar w:fldCharType="separate"/>
      </w:r>
      <w:r>
        <w:rPr>
          <w:rFonts w:hint="eastAsia" w:eastAsia="仿宋_GB2312" w:cs="仿宋"/>
          <w:sz w:val="32"/>
          <w:szCs w:val="32"/>
        </w:rPr>
        <w:t>④</w:t>
      </w:r>
      <w:r>
        <w:rPr>
          <w:rFonts w:hint="eastAsia" w:eastAsia="仿宋_GB2312" w:cs="仿宋"/>
          <w:sz w:val="32"/>
          <w:szCs w:val="32"/>
        </w:rPr>
        <w:fldChar w:fldCharType="end"/>
      </w:r>
      <w:r>
        <w:rPr>
          <w:rFonts w:hint="eastAsia" w:eastAsia="仿宋_GB2312" w:cs="仿宋"/>
          <w:sz w:val="32"/>
          <w:szCs w:val="32"/>
        </w:rPr>
        <w:t>科技伦理专题研究（2学分）</w:t>
      </w:r>
    </w:p>
    <w:p w14:paraId="26185487">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5 \* GB3 </w:instrText>
      </w:r>
      <w:r>
        <w:rPr>
          <w:rFonts w:hint="eastAsia" w:eastAsia="仿宋_GB2312" w:cs="仿宋"/>
          <w:sz w:val="32"/>
          <w:szCs w:val="32"/>
        </w:rPr>
        <w:fldChar w:fldCharType="separate"/>
      </w:r>
      <w:r>
        <w:rPr>
          <w:rFonts w:hint="eastAsia" w:eastAsia="仿宋_GB2312" w:cs="仿宋"/>
          <w:sz w:val="32"/>
          <w:szCs w:val="32"/>
        </w:rPr>
        <w:t>⑤</w:t>
      </w:r>
      <w:r>
        <w:rPr>
          <w:rFonts w:hint="eastAsia" w:eastAsia="仿宋_GB2312" w:cs="仿宋"/>
          <w:sz w:val="32"/>
          <w:szCs w:val="32"/>
        </w:rPr>
        <w:fldChar w:fldCharType="end"/>
      </w:r>
      <w:r>
        <w:rPr>
          <w:rFonts w:hint="eastAsia" w:eastAsia="仿宋_GB2312" w:cs="仿宋"/>
          <w:sz w:val="32"/>
          <w:szCs w:val="32"/>
        </w:rPr>
        <w:t>哲学与人生（2学分）</w:t>
      </w:r>
    </w:p>
    <w:p w14:paraId="0E6F8F4B">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6 \* GB3 </w:instrText>
      </w:r>
      <w:r>
        <w:rPr>
          <w:rFonts w:hint="eastAsia" w:eastAsia="仿宋_GB2312" w:cs="仿宋"/>
          <w:sz w:val="32"/>
          <w:szCs w:val="32"/>
        </w:rPr>
        <w:fldChar w:fldCharType="separate"/>
      </w:r>
      <w:r>
        <w:rPr>
          <w:rFonts w:hint="eastAsia" w:eastAsia="仿宋_GB2312" w:cs="仿宋"/>
          <w:sz w:val="32"/>
          <w:szCs w:val="32"/>
        </w:rPr>
        <w:t>⑥</w:t>
      </w:r>
      <w:r>
        <w:rPr>
          <w:rFonts w:hint="eastAsia" w:eastAsia="仿宋_GB2312" w:cs="仿宋"/>
          <w:sz w:val="32"/>
          <w:szCs w:val="32"/>
        </w:rPr>
        <w:fldChar w:fldCharType="end"/>
      </w:r>
      <w:r>
        <w:rPr>
          <w:rFonts w:hint="eastAsia" w:eastAsia="仿宋_GB2312" w:cs="仿宋"/>
          <w:sz w:val="32"/>
          <w:szCs w:val="32"/>
        </w:rPr>
        <w:t>区域国别学概论（2学分）</w:t>
      </w:r>
    </w:p>
    <w:p w14:paraId="68D8F853">
      <w:pPr>
        <w:spacing w:line="560" w:lineRule="exact"/>
        <w:ind w:firstLine="640" w:firstLineChars="200"/>
        <w:rPr>
          <w:rFonts w:eastAsia="仿宋_GB2312" w:cs="仿宋"/>
          <w:sz w:val="32"/>
          <w:szCs w:val="32"/>
        </w:rPr>
      </w:pPr>
      <w:r>
        <w:rPr>
          <w:rFonts w:hint="eastAsia" w:eastAsia="仿宋_GB2312" w:cs="仿宋"/>
          <w:sz w:val="32"/>
          <w:szCs w:val="32"/>
        </w:rPr>
        <w:t>线上课程3门，至少选修1门：</w:t>
      </w:r>
    </w:p>
    <w:p w14:paraId="66BB7E50">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1 \* GB3 </w:instrText>
      </w:r>
      <w:r>
        <w:rPr>
          <w:rFonts w:hint="eastAsia" w:eastAsia="仿宋_GB2312" w:cs="仿宋"/>
          <w:sz w:val="32"/>
          <w:szCs w:val="32"/>
        </w:rPr>
        <w:fldChar w:fldCharType="separate"/>
      </w:r>
      <w:r>
        <w:rPr>
          <w:rFonts w:hint="eastAsia" w:eastAsia="仿宋_GB2312" w:cs="仿宋"/>
          <w:sz w:val="32"/>
          <w:szCs w:val="32"/>
        </w:rPr>
        <w:t>①</w:t>
      </w:r>
      <w:r>
        <w:rPr>
          <w:rFonts w:hint="eastAsia" w:eastAsia="仿宋_GB2312" w:cs="仿宋"/>
          <w:sz w:val="32"/>
          <w:szCs w:val="32"/>
        </w:rPr>
        <w:fldChar w:fldCharType="end"/>
      </w:r>
      <w:r>
        <w:rPr>
          <w:rFonts w:hint="eastAsia" w:eastAsia="仿宋_GB2312" w:cs="仿宋"/>
          <w:sz w:val="32"/>
          <w:szCs w:val="32"/>
        </w:rPr>
        <w:t>如何写好科研论文（2学分）</w:t>
      </w:r>
    </w:p>
    <w:p w14:paraId="41E9AE0F">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2 \* GB3 </w:instrText>
      </w:r>
      <w:r>
        <w:rPr>
          <w:rFonts w:hint="eastAsia" w:eastAsia="仿宋_GB2312" w:cs="仿宋"/>
          <w:sz w:val="32"/>
          <w:szCs w:val="32"/>
        </w:rPr>
        <w:fldChar w:fldCharType="separate"/>
      </w:r>
      <w:r>
        <w:rPr>
          <w:rFonts w:hint="eastAsia" w:eastAsia="仿宋_GB2312" w:cs="仿宋"/>
          <w:sz w:val="32"/>
          <w:szCs w:val="32"/>
        </w:rPr>
        <w:t>②</w:t>
      </w:r>
      <w:r>
        <w:rPr>
          <w:rFonts w:hint="eastAsia" w:eastAsia="仿宋_GB2312" w:cs="仿宋"/>
          <w:sz w:val="32"/>
          <w:szCs w:val="32"/>
        </w:rPr>
        <w:fldChar w:fldCharType="end"/>
      </w:r>
      <w:r>
        <w:rPr>
          <w:rFonts w:hint="eastAsia" w:eastAsia="仿宋_GB2312" w:cs="仿宋"/>
          <w:sz w:val="32"/>
          <w:szCs w:val="32"/>
        </w:rPr>
        <w:t>研究生的压力应对与健康心理（2学分）</w:t>
      </w:r>
    </w:p>
    <w:p w14:paraId="26CA6B42">
      <w:pPr>
        <w:spacing w:line="560" w:lineRule="exact"/>
        <w:ind w:firstLine="640" w:firstLineChars="200"/>
        <w:rPr>
          <w:rFonts w:eastAsia="仿宋_GB2312" w:cs="仿宋"/>
          <w:sz w:val="32"/>
          <w:szCs w:val="32"/>
        </w:rPr>
      </w:pPr>
      <w:r>
        <w:rPr>
          <w:rFonts w:hint="eastAsia" w:eastAsia="仿宋_GB2312" w:cs="仿宋"/>
          <w:sz w:val="32"/>
          <w:szCs w:val="32"/>
        </w:rPr>
        <w:fldChar w:fldCharType="begin"/>
      </w:r>
      <w:r>
        <w:rPr>
          <w:rFonts w:hint="eastAsia" w:eastAsia="仿宋_GB2312" w:cs="仿宋"/>
          <w:sz w:val="32"/>
          <w:szCs w:val="32"/>
        </w:rPr>
        <w:instrText xml:space="preserve"> = 3 \* GB3 </w:instrText>
      </w:r>
      <w:r>
        <w:rPr>
          <w:rFonts w:hint="eastAsia" w:eastAsia="仿宋_GB2312" w:cs="仿宋"/>
          <w:sz w:val="32"/>
          <w:szCs w:val="32"/>
        </w:rPr>
        <w:fldChar w:fldCharType="separate"/>
      </w:r>
      <w:r>
        <w:rPr>
          <w:rFonts w:hint="eastAsia" w:eastAsia="仿宋_GB2312" w:cs="仿宋"/>
          <w:sz w:val="32"/>
          <w:szCs w:val="32"/>
        </w:rPr>
        <w:t>③</w:t>
      </w:r>
      <w:r>
        <w:rPr>
          <w:rFonts w:hint="eastAsia" w:eastAsia="仿宋_GB2312" w:cs="仿宋"/>
          <w:sz w:val="32"/>
          <w:szCs w:val="32"/>
        </w:rPr>
        <w:fldChar w:fldCharType="end"/>
      </w:r>
      <w:r>
        <w:rPr>
          <w:rFonts w:hint="eastAsia" w:eastAsia="仿宋_GB2312" w:cs="仿宋"/>
          <w:sz w:val="32"/>
          <w:szCs w:val="32"/>
        </w:rPr>
        <w:t>研究生学术与职业素养讲座（2学分）</w:t>
      </w:r>
    </w:p>
    <w:p w14:paraId="476D0235">
      <w:pPr>
        <w:spacing w:line="560" w:lineRule="exact"/>
        <w:ind w:firstLine="640" w:firstLineChars="200"/>
        <w:rPr>
          <w:rFonts w:eastAsia="仿宋_GB2312" w:cs="仿宋"/>
          <w:sz w:val="32"/>
          <w:szCs w:val="32"/>
        </w:rPr>
      </w:pPr>
      <w:r>
        <w:rPr>
          <w:rFonts w:hint="eastAsia" w:eastAsia="仿宋_GB2312" w:cs="仿宋"/>
          <w:sz w:val="32"/>
          <w:szCs w:val="32"/>
        </w:rPr>
        <w:t>3.补修课</w:t>
      </w:r>
    </w:p>
    <w:p w14:paraId="3BFA828C">
      <w:pPr>
        <w:spacing w:line="560" w:lineRule="exact"/>
        <w:ind w:firstLine="640" w:firstLineChars="200"/>
        <w:rPr>
          <w:rFonts w:eastAsia="仿宋_GB2312" w:cs="仿宋"/>
          <w:sz w:val="32"/>
          <w:szCs w:val="32"/>
        </w:rPr>
      </w:pPr>
      <w:r>
        <w:rPr>
          <w:rFonts w:hint="eastAsia" w:eastAsia="仿宋_GB2312" w:cs="仿宋"/>
          <w:sz w:val="32"/>
          <w:szCs w:val="32"/>
        </w:rPr>
        <w:t>跨学科或以同等学力考入的研究生必须补修本专业本科阶段3门主干课程：动物解剖学、动物生物化学和兽医微生物学。补修课程成绩须合格但不计学分。</w:t>
      </w:r>
    </w:p>
    <w:p w14:paraId="432E8C4B">
      <w:pPr>
        <w:spacing w:line="560" w:lineRule="exact"/>
        <w:ind w:firstLine="640" w:firstLineChars="200"/>
        <w:rPr>
          <w:rFonts w:eastAsia="仿宋_GB2312" w:cs="仿宋"/>
          <w:sz w:val="32"/>
          <w:szCs w:val="32"/>
        </w:rPr>
      </w:pPr>
      <w:r>
        <w:rPr>
          <w:rFonts w:hint="eastAsia" w:eastAsia="仿宋_GB2312" w:cs="仿宋"/>
          <w:sz w:val="32"/>
          <w:szCs w:val="32"/>
        </w:rPr>
        <w:t>（三）课程考核与成绩管理</w:t>
      </w:r>
    </w:p>
    <w:p w14:paraId="6BC8F914">
      <w:pPr>
        <w:spacing w:line="560" w:lineRule="exact"/>
        <w:ind w:firstLine="640" w:firstLineChars="200"/>
        <w:rPr>
          <w:rFonts w:eastAsia="仿宋_GB2312" w:cs="仿宋"/>
          <w:sz w:val="32"/>
          <w:szCs w:val="32"/>
        </w:rPr>
      </w:pPr>
      <w:r>
        <w:rPr>
          <w:rFonts w:hint="eastAsia" w:eastAsia="仿宋_GB2312" w:cs="仿宋"/>
          <w:sz w:val="32"/>
          <w:szCs w:val="32"/>
        </w:rPr>
        <w:t>1.本学位点教学指导委员会指导任课教师制定和实施所授课程的统一教学大纲、计划、教材、教学要求和考核方式。根据该专业学位特点和具体情况不断改进教学方式，提高课堂教学效果。</w:t>
      </w:r>
    </w:p>
    <w:p w14:paraId="18085A52">
      <w:pPr>
        <w:spacing w:line="560" w:lineRule="exact"/>
        <w:ind w:firstLine="640" w:firstLineChars="200"/>
        <w:rPr>
          <w:rFonts w:eastAsia="仿宋_GB2312" w:cs="仿宋"/>
          <w:sz w:val="32"/>
          <w:szCs w:val="32"/>
        </w:rPr>
      </w:pPr>
      <w:r>
        <w:rPr>
          <w:rFonts w:hint="eastAsia" w:eastAsia="仿宋_GB2312" w:cs="仿宋"/>
          <w:sz w:val="32"/>
          <w:szCs w:val="32"/>
        </w:rPr>
        <w:t>2.本专业所有课程都必须进行考核，合格者方能取得学分。考核方式采用闭卷笔试、开卷考试、课程论文等多种形式。学位课（学位公共课、学位基础课和学位专业课）成绩70分为合格，非学位课课程成绩60分为合格。课程考核不合格者须随下一级重新修读，学习成绩单中此门课程显示重修。成绩不合格且在毕业资格审查前未完成重修者，应申请延期毕业。研究生因病或其它特殊原因不能参加考试者，必须提前办理缓考申请，经任课教师同意，学院主管领导批准（公共课需经研究生处批准）后，方可缓考。缓考研究生只能参加该课程下一轮次的考试。</w:t>
      </w:r>
    </w:p>
    <w:p w14:paraId="137DBE8E">
      <w:pPr>
        <w:spacing w:line="560" w:lineRule="exact"/>
        <w:ind w:firstLine="640" w:firstLineChars="200"/>
        <w:rPr>
          <w:rFonts w:eastAsia="仿宋_GB2312" w:cs="仿宋"/>
          <w:sz w:val="32"/>
          <w:szCs w:val="32"/>
        </w:rPr>
      </w:pPr>
      <w:r>
        <w:rPr>
          <w:rFonts w:hint="eastAsia" w:eastAsia="仿宋_GB2312" w:cs="仿宋"/>
          <w:sz w:val="32"/>
          <w:szCs w:val="32"/>
        </w:rPr>
        <w:t>3.建立上课考勤制度。请假超过一门课程总学时的三分之一者、旷课超过一门课程总学时的五分之一者，不得参加该课程的考核，必须重修。</w:t>
      </w:r>
    </w:p>
    <w:p w14:paraId="5A03FAFE">
      <w:pPr>
        <w:spacing w:line="560" w:lineRule="exact"/>
        <w:ind w:firstLine="640" w:firstLineChars="200"/>
        <w:rPr>
          <w:rFonts w:eastAsia="黑体"/>
          <w:bCs/>
          <w:sz w:val="32"/>
        </w:rPr>
      </w:pPr>
      <w:r>
        <w:rPr>
          <w:rFonts w:hint="eastAsia" w:eastAsia="黑体"/>
          <w:bCs/>
          <w:sz w:val="32"/>
        </w:rPr>
        <w:t>八、培养环节</w:t>
      </w:r>
    </w:p>
    <w:p w14:paraId="65C0BEF5">
      <w:pPr>
        <w:spacing w:line="560" w:lineRule="exact"/>
        <w:ind w:firstLine="640" w:firstLineChars="200"/>
        <w:rPr>
          <w:rFonts w:eastAsia="仿宋_GB2312" w:cs="仿宋"/>
          <w:sz w:val="32"/>
          <w:szCs w:val="32"/>
        </w:rPr>
      </w:pPr>
      <w:r>
        <w:rPr>
          <w:rFonts w:hint="eastAsia" w:eastAsia="仿宋_GB2312" w:cs="仿宋"/>
          <w:sz w:val="32"/>
          <w:szCs w:val="32"/>
        </w:rPr>
        <w:t>培养环节是指课程学习之外的前沿讲座（1学分）、专业实践考核（5学分）、中期筛选（1学分）。培养环节不计学时，计入学分。</w:t>
      </w:r>
    </w:p>
    <w:p w14:paraId="2E6AB14B">
      <w:pPr>
        <w:spacing w:line="560" w:lineRule="exact"/>
        <w:ind w:firstLine="640" w:firstLineChars="200"/>
        <w:rPr>
          <w:rFonts w:eastAsia="仿宋_GB2312" w:cs="仿宋"/>
          <w:sz w:val="32"/>
          <w:szCs w:val="32"/>
        </w:rPr>
      </w:pPr>
      <w:r>
        <w:rPr>
          <w:rFonts w:hint="eastAsia" w:eastAsia="仿宋_GB2312" w:cs="仿宋"/>
          <w:sz w:val="32"/>
          <w:szCs w:val="32"/>
        </w:rPr>
        <w:t>（一）前沿讲座（1学分）</w:t>
      </w:r>
    </w:p>
    <w:p w14:paraId="4E20607D">
      <w:pPr>
        <w:spacing w:line="560" w:lineRule="exact"/>
        <w:ind w:firstLine="640" w:firstLineChars="200"/>
        <w:rPr>
          <w:rFonts w:eastAsia="仿宋_GB2312" w:cs="仿宋"/>
          <w:sz w:val="32"/>
          <w:szCs w:val="32"/>
        </w:rPr>
      </w:pPr>
      <w:r>
        <w:rPr>
          <w:rFonts w:hint="eastAsia" w:eastAsia="仿宋_GB2312" w:cs="仿宋"/>
          <w:sz w:val="32"/>
          <w:szCs w:val="32"/>
        </w:rPr>
        <w:t>学院邀请兽医行业企业单位有丰富实践经验的专家，围绕本专业前沿发展的实践性课题开设前沿讲座。研究生在读期间，应参加至少10次的学术讲座，主讲不少于2次的学术报告。每次参加学术活动后应撰写学术报告并提交给导师审阅，经导师确认后，学院社会实践领导小组进行成绩评定，合格获得1学分。</w:t>
      </w:r>
    </w:p>
    <w:p w14:paraId="4B2277DF">
      <w:pPr>
        <w:spacing w:line="560" w:lineRule="exact"/>
        <w:ind w:firstLine="640" w:firstLineChars="200"/>
        <w:rPr>
          <w:rFonts w:eastAsia="仿宋_GB2312" w:cs="仿宋"/>
          <w:sz w:val="32"/>
          <w:szCs w:val="32"/>
        </w:rPr>
      </w:pPr>
      <w:r>
        <w:rPr>
          <w:rFonts w:hint="eastAsia" w:eastAsia="仿宋_GB2312" w:cs="仿宋"/>
          <w:sz w:val="32"/>
          <w:szCs w:val="32"/>
        </w:rPr>
        <w:t>（二）专业实践与考核（5学分）</w:t>
      </w:r>
    </w:p>
    <w:p w14:paraId="0971AC38">
      <w:pPr>
        <w:spacing w:line="560" w:lineRule="exact"/>
        <w:ind w:firstLine="640" w:firstLineChars="200"/>
        <w:rPr>
          <w:rFonts w:eastAsia="仿宋_GB2312" w:cs="仿宋"/>
          <w:sz w:val="32"/>
          <w:szCs w:val="32"/>
        </w:rPr>
      </w:pPr>
      <w:r>
        <w:rPr>
          <w:rFonts w:hint="eastAsia" w:eastAsia="仿宋_GB2312" w:cs="仿宋"/>
          <w:sz w:val="32"/>
          <w:szCs w:val="32"/>
        </w:rPr>
        <w:t>1.专业实践环节共4学分，专业实践时间应不少于1年，一般安排在第二学年进行。专业实践环节中，学生须到实践单位（或实践基地）进行主题明确、内容明确、计划明确的系统化实践训练。专业实践实行双导师制。其中一位导师来自校内（即校内导师），负责工程硕士研究生指导的主要责任，主要指导学生的课程学习和学位论文；另一位导师要求来自研究生的实践单位（即校外导师），主要负责学生专业实践环节的学习，研究生按要求完成专业实践可获得相应学分。</w:t>
      </w:r>
    </w:p>
    <w:p w14:paraId="68E89338">
      <w:pPr>
        <w:spacing w:line="560" w:lineRule="exact"/>
        <w:ind w:firstLine="640" w:firstLineChars="200"/>
        <w:rPr>
          <w:rFonts w:eastAsia="仿宋_GB2312" w:cs="仿宋"/>
          <w:sz w:val="32"/>
          <w:szCs w:val="32"/>
        </w:rPr>
      </w:pPr>
      <w:r>
        <w:rPr>
          <w:rFonts w:hint="eastAsia" w:eastAsia="仿宋_GB2312" w:cs="仿宋"/>
          <w:sz w:val="32"/>
          <w:szCs w:val="32"/>
        </w:rPr>
        <w:t>2.专业实践考核1学分，一般安排在第5学期进行。专业实践结束后，研究生应撰写不少于5000字的专业实践报告，经学校、实践单位（或实践基地）共同对其进行考核，成绩合格及以上可得1学分。</w:t>
      </w:r>
    </w:p>
    <w:p w14:paraId="3F8AC0E7">
      <w:pPr>
        <w:spacing w:line="560" w:lineRule="exact"/>
        <w:ind w:firstLine="640" w:firstLineChars="200"/>
        <w:rPr>
          <w:rFonts w:eastAsia="仿宋_GB2312" w:cs="仿宋"/>
          <w:sz w:val="32"/>
          <w:szCs w:val="32"/>
        </w:rPr>
      </w:pPr>
      <w:r>
        <w:rPr>
          <w:rFonts w:hint="eastAsia" w:eastAsia="仿宋_GB2312" w:cs="仿宋"/>
          <w:sz w:val="32"/>
          <w:szCs w:val="32"/>
        </w:rPr>
        <w:t>（三）中期筛选（1学分）</w:t>
      </w:r>
    </w:p>
    <w:p w14:paraId="49172FF7">
      <w:pPr>
        <w:spacing w:line="560" w:lineRule="exact"/>
        <w:ind w:firstLine="640" w:firstLineChars="200"/>
        <w:rPr>
          <w:rFonts w:eastAsia="仿宋_GB2312" w:cs="仿宋"/>
          <w:sz w:val="32"/>
          <w:szCs w:val="32"/>
        </w:rPr>
      </w:pPr>
      <w:r>
        <w:rPr>
          <w:rFonts w:hint="eastAsia" w:eastAsia="仿宋_GB2312" w:cs="仿宋"/>
          <w:sz w:val="32"/>
          <w:szCs w:val="32"/>
        </w:rPr>
        <w:t>实行中期筛选考核制度，综合考察研究生思想品德及知识结构、专业能力、综合素质，并着重检查研究生培养计划、专业实践实施情况。具体要求参照《聊城大学研究生中期筛选考核办法（试行）》（聊大校发〔2021〕101号）。</w:t>
      </w:r>
    </w:p>
    <w:p w14:paraId="724A10D4">
      <w:pPr>
        <w:spacing w:line="560" w:lineRule="exact"/>
        <w:ind w:firstLine="640" w:firstLineChars="200"/>
        <w:rPr>
          <w:rFonts w:eastAsia="仿宋_GB2312" w:cs="仿宋"/>
          <w:sz w:val="32"/>
          <w:szCs w:val="32"/>
        </w:rPr>
      </w:pPr>
      <w:r>
        <w:rPr>
          <w:rFonts w:hint="eastAsia" w:eastAsia="仿宋_GB2312" w:cs="仿宋"/>
          <w:sz w:val="32"/>
          <w:szCs w:val="32"/>
        </w:rPr>
        <w:t>中期筛选工作在第4学期进行，中期筛选考核结果分为优秀、合格、不合格。考核成绩合格，进入学位论文写作阶段，获得1学分；考核成绩不合格，终止培养过程，按相关程序做退学处理。对“实践创新能力差”难以立即确定的，经研究生申请，导师（团队）认可，考核领导小组通过，可申请进行第二次考核，第二次考核仍未通过者，按相关程序做退学处理。</w:t>
      </w:r>
    </w:p>
    <w:p w14:paraId="287BED70">
      <w:pPr>
        <w:spacing w:line="560" w:lineRule="exact"/>
        <w:ind w:firstLine="640" w:firstLineChars="200"/>
        <w:rPr>
          <w:rFonts w:eastAsia="仿宋_GB2312" w:cs="仿宋"/>
          <w:sz w:val="32"/>
          <w:szCs w:val="32"/>
        </w:rPr>
      </w:pPr>
      <w:bookmarkStart w:id="1" w:name="_Hlk200442190"/>
      <w:r>
        <w:rPr>
          <w:rFonts w:hint="eastAsia" w:eastAsia="仿宋_GB2312" w:cs="仿宋"/>
          <w:sz w:val="32"/>
          <w:szCs w:val="32"/>
        </w:rPr>
        <w:t>（四）科研成果</w:t>
      </w:r>
    </w:p>
    <w:p w14:paraId="2ACC17A7">
      <w:pPr>
        <w:spacing w:line="560" w:lineRule="exact"/>
        <w:ind w:firstLine="640" w:firstLineChars="200"/>
        <w:rPr>
          <w:rFonts w:eastAsia="仿宋_GB2312" w:cs="仿宋"/>
          <w:sz w:val="32"/>
          <w:szCs w:val="32"/>
        </w:rPr>
      </w:pPr>
      <w:r>
        <w:rPr>
          <w:rFonts w:hint="eastAsia" w:eastAsia="仿宋_GB2312" w:cs="仿宋"/>
          <w:sz w:val="32"/>
          <w:szCs w:val="32"/>
        </w:rPr>
        <w:t>研究生在读期间取得的科研成果应符合学院科研成果的基本要求。</w:t>
      </w:r>
      <w:bookmarkEnd w:id="1"/>
    </w:p>
    <w:p w14:paraId="53F1FE3D">
      <w:pPr>
        <w:numPr>
          <w:ilvl w:val="0"/>
          <w:numId w:val="1"/>
        </w:numPr>
        <w:spacing w:line="560" w:lineRule="exact"/>
        <w:ind w:firstLine="640" w:firstLineChars="200"/>
        <w:rPr>
          <w:rFonts w:eastAsia="黑体"/>
          <w:bCs/>
          <w:sz w:val="32"/>
        </w:rPr>
      </w:pPr>
      <w:r>
        <w:rPr>
          <w:rFonts w:hint="eastAsia" w:eastAsia="黑体"/>
          <w:bCs/>
          <w:sz w:val="32"/>
        </w:rPr>
        <w:t>学位论文与学位授予</w:t>
      </w:r>
    </w:p>
    <w:p w14:paraId="05B34D72">
      <w:pPr>
        <w:spacing w:line="560" w:lineRule="exact"/>
        <w:ind w:firstLine="640" w:firstLineChars="200"/>
        <w:rPr>
          <w:rFonts w:eastAsia="仿宋_GB2312" w:cs="仿宋"/>
          <w:sz w:val="32"/>
          <w:szCs w:val="32"/>
        </w:rPr>
      </w:pPr>
      <w:r>
        <w:rPr>
          <w:rFonts w:hint="eastAsia" w:eastAsia="仿宋_GB2312" w:cs="仿宋"/>
          <w:sz w:val="32"/>
          <w:szCs w:val="32"/>
        </w:rPr>
        <w:t>（一）论文开题</w:t>
      </w:r>
    </w:p>
    <w:p w14:paraId="4AAEB560">
      <w:pPr>
        <w:spacing w:line="560" w:lineRule="exact"/>
        <w:ind w:firstLine="640" w:firstLineChars="200"/>
        <w:rPr>
          <w:rFonts w:eastAsia="仿宋_GB2312" w:cs="仿宋"/>
          <w:sz w:val="32"/>
          <w:szCs w:val="32"/>
        </w:rPr>
      </w:pPr>
      <w:r>
        <w:rPr>
          <w:rFonts w:hint="eastAsia" w:eastAsia="仿宋_GB2312" w:cs="仿宋"/>
          <w:sz w:val="32"/>
          <w:szCs w:val="32"/>
        </w:rPr>
        <w:t>在导师指导下，研究生须在第3学期第5周前确定学位论文选题并通过开题报告论证，制定学位论文工作计划。学位论文从通过开题论证到答辩间隔时间，不得少于12个月。</w:t>
      </w:r>
    </w:p>
    <w:p w14:paraId="2B710F19">
      <w:pPr>
        <w:spacing w:line="560" w:lineRule="exact"/>
        <w:ind w:firstLine="640" w:firstLineChars="200"/>
        <w:rPr>
          <w:rFonts w:eastAsia="仿宋_GB2312" w:cs="仿宋"/>
          <w:sz w:val="32"/>
          <w:szCs w:val="32"/>
        </w:rPr>
      </w:pPr>
      <w:r>
        <w:rPr>
          <w:rFonts w:hint="eastAsia" w:eastAsia="仿宋_GB2312" w:cs="仿宋"/>
          <w:sz w:val="32"/>
          <w:szCs w:val="32"/>
        </w:rPr>
        <w:t>（二）论文中期检查</w:t>
      </w:r>
    </w:p>
    <w:p w14:paraId="2B5D0926">
      <w:pPr>
        <w:spacing w:line="560" w:lineRule="exact"/>
        <w:ind w:firstLine="640" w:firstLineChars="200"/>
        <w:rPr>
          <w:rFonts w:eastAsia="仿宋_GB2312" w:cs="仿宋"/>
          <w:sz w:val="32"/>
          <w:szCs w:val="32"/>
        </w:rPr>
      </w:pPr>
      <w:r>
        <w:rPr>
          <w:rFonts w:hint="eastAsia" w:eastAsia="仿宋_GB2312" w:cs="仿宋"/>
          <w:sz w:val="32"/>
          <w:szCs w:val="32"/>
        </w:rPr>
        <w:t>导师组根据研究生论文开题报告，检查论文写作计划的进展和完成情况，并针对论文写作中出现的问题加强指导，以保证硕士学位论文工作的顺利进行。论文中期检查一般应在第5学期第16周前完成。</w:t>
      </w:r>
    </w:p>
    <w:p w14:paraId="24EA0D6B">
      <w:pPr>
        <w:spacing w:line="560" w:lineRule="exact"/>
        <w:ind w:firstLine="640" w:firstLineChars="200"/>
        <w:rPr>
          <w:rFonts w:eastAsia="仿宋_GB2312" w:cs="仿宋"/>
          <w:sz w:val="32"/>
          <w:szCs w:val="32"/>
        </w:rPr>
      </w:pPr>
      <w:r>
        <w:rPr>
          <w:rFonts w:hint="eastAsia" w:eastAsia="仿宋_GB2312" w:cs="仿宋"/>
          <w:sz w:val="32"/>
          <w:szCs w:val="32"/>
        </w:rPr>
        <w:t>（三）毕业资格审查和学位论文外审资格申请</w:t>
      </w:r>
    </w:p>
    <w:p w14:paraId="2496D738">
      <w:pPr>
        <w:spacing w:line="560" w:lineRule="exact"/>
        <w:ind w:firstLine="640" w:firstLineChars="200"/>
        <w:rPr>
          <w:rFonts w:eastAsia="仿宋_GB2312" w:cs="仿宋"/>
          <w:sz w:val="32"/>
          <w:szCs w:val="32"/>
        </w:rPr>
      </w:pPr>
      <w:r>
        <w:rPr>
          <w:rFonts w:hint="eastAsia" w:eastAsia="仿宋_GB2312" w:cs="仿宋"/>
          <w:sz w:val="32"/>
          <w:szCs w:val="32"/>
        </w:rPr>
        <w:t>第6学期3月份，研究生向学校提出毕业资格申请，学院按照培养方案和个人培养计划审查研究生的毕业资格，经研究生处审核通过后，方可取得参与学位论文外审的资格。</w:t>
      </w:r>
    </w:p>
    <w:p w14:paraId="49CB3FB5">
      <w:pPr>
        <w:spacing w:line="560" w:lineRule="exact"/>
        <w:ind w:firstLine="640" w:firstLineChars="200"/>
        <w:rPr>
          <w:rFonts w:eastAsia="仿宋_GB2312" w:cs="仿宋"/>
          <w:sz w:val="32"/>
          <w:szCs w:val="32"/>
        </w:rPr>
      </w:pPr>
      <w:r>
        <w:rPr>
          <w:rFonts w:hint="eastAsia" w:eastAsia="仿宋_GB2312" w:cs="仿宋"/>
          <w:sz w:val="32"/>
          <w:szCs w:val="32"/>
        </w:rPr>
        <w:t>（四）论文预答辩、外审、答辩和学位授予工作严格按照聊城大学最新的相关办法和通知要求执行。</w:t>
      </w:r>
    </w:p>
    <w:p w14:paraId="1557DDB8">
      <w:pPr>
        <w:spacing w:line="560" w:lineRule="exact"/>
        <w:ind w:firstLine="640" w:firstLineChars="200"/>
        <w:rPr>
          <w:rFonts w:eastAsia="仿宋_GB2312" w:cs="仿宋"/>
          <w:sz w:val="32"/>
          <w:szCs w:val="32"/>
        </w:rPr>
      </w:pPr>
      <w:r>
        <w:rPr>
          <w:rFonts w:hint="eastAsia" w:eastAsia="仿宋_GB2312" w:cs="仿宋"/>
          <w:sz w:val="32"/>
          <w:szCs w:val="32"/>
        </w:rPr>
        <w:t>十、其他规定</w:t>
      </w:r>
    </w:p>
    <w:p w14:paraId="508A85EB">
      <w:pPr>
        <w:spacing w:line="560" w:lineRule="exact"/>
        <w:ind w:firstLine="640" w:firstLineChars="200"/>
        <w:rPr>
          <w:rFonts w:eastAsia="仿宋_GB2312" w:cs="仿宋"/>
          <w:sz w:val="32"/>
          <w:szCs w:val="32"/>
        </w:rPr>
      </w:pPr>
      <w:r>
        <w:rPr>
          <w:rFonts w:hint="eastAsia" w:eastAsia="仿宋_GB2312" w:cs="仿宋"/>
          <w:sz w:val="32"/>
          <w:szCs w:val="32"/>
        </w:rPr>
        <w:t>（一）培养方案一经批准，应严格执行，不得随意改动。</w:t>
      </w:r>
    </w:p>
    <w:p w14:paraId="6D4070BE">
      <w:pPr>
        <w:spacing w:line="560" w:lineRule="exact"/>
        <w:ind w:firstLine="640" w:firstLineChars="200"/>
        <w:rPr>
          <w:rFonts w:eastAsia="仿宋_GB2312" w:cs="仿宋"/>
          <w:sz w:val="32"/>
          <w:szCs w:val="32"/>
        </w:rPr>
      </w:pPr>
      <w:r>
        <w:rPr>
          <w:rFonts w:hint="eastAsia" w:eastAsia="仿宋_GB2312" w:cs="仿宋"/>
          <w:sz w:val="32"/>
          <w:szCs w:val="32"/>
        </w:rPr>
        <w:t>（二）指导教师或导师组应按照培养方案的要求，指导研究生制定个人培养计划。</w:t>
      </w:r>
    </w:p>
    <w:p w14:paraId="0B89C610">
      <w:pPr>
        <w:spacing w:line="560" w:lineRule="exact"/>
        <w:ind w:firstLine="640" w:firstLineChars="200"/>
        <w:rPr>
          <w:rFonts w:eastAsia="仿宋_GB2312" w:cs="仿宋"/>
          <w:sz w:val="32"/>
          <w:szCs w:val="32"/>
        </w:rPr>
      </w:pPr>
      <w:r>
        <w:rPr>
          <w:rFonts w:hint="eastAsia" w:eastAsia="仿宋_GB2312" w:cs="仿宋"/>
          <w:sz w:val="32"/>
          <w:szCs w:val="32"/>
        </w:rPr>
        <w:t>（三）本次修订的培养方案自2025年入学的研究生开始执行。</w:t>
      </w:r>
    </w:p>
    <w:p w14:paraId="68DC7DA2">
      <w:pPr>
        <w:spacing w:line="560" w:lineRule="exact"/>
        <w:ind w:firstLine="640" w:firstLineChars="200"/>
        <w:rPr>
          <w:rFonts w:eastAsia="仿宋_GB2312" w:cs="仿宋"/>
          <w:sz w:val="32"/>
          <w:szCs w:val="32"/>
        </w:rPr>
      </w:pPr>
    </w:p>
    <w:p w14:paraId="3F801DFE">
      <w:pPr>
        <w:spacing w:line="560" w:lineRule="exact"/>
        <w:ind w:firstLine="640" w:firstLineChars="200"/>
        <w:rPr>
          <w:rFonts w:eastAsia="仿宋_GB2312" w:cs="仿宋"/>
          <w:sz w:val="32"/>
          <w:szCs w:val="32"/>
        </w:rPr>
      </w:pPr>
      <w:r>
        <w:rPr>
          <w:rFonts w:hint="eastAsia" w:eastAsia="仿宋_GB2312" w:cs="仿宋"/>
          <w:sz w:val="32"/>
          <w:szCs w:val="32"/>
        </w:rPr>
        <w:t xml:space="preserve">拟稿人（签字）： </w:t>
      </w:r>
    </w:p>
    <w:p w14:paraId="66B8F875">
      <w:pPr>
        <w:spacing w:line="560" w:lineRule="exact"/>
        <w:ind w:firstLine="640" w:firstLineChars="200"/>
        <w:rPr>
          <w:rFonts w:eastAsia="仿宋_GB2312" w:cs="仿宋"/>
          <w:sz w:val="32"/>
          <w:szCs w:val="32"/>
        </w:rPr>
      </w:pPr>
      <w:r>
        <w:rPr>
          <w:rFonts w:hint="eastAsia" w:eastAsia="仿宋_GB2312" w:cs="仿宋"/>
          <w:sz w:val="32"/>
          <w:szCs w:val="32"/>
        </w:rPr>
        <w:t xml:space="preserve">培养方案制定工作组组长（签字）： </w:t>
      </w:r>
    </w:p>
    <w:p w14:paraId="6120977D">
      <w:pPr>
        <w:spacing w:line="560" w:lineRule="exact"/>
        <w:ind w:firstLine="640" w:firstLineChars="200"/>
        <w:rPr>
          <w:rFonts w:eastAsia="仿宋_GB2312" w:cs="仿宋"/>
          <w:sz w:val="32"/>
          <w:szCs w:val="32"/>
        </w:rPr>
      </w:pPr>
      <w:r>
        <w:rPr>
          <w:rFonts w:hint="eastAsia" w:eastAsia="仿宋_GB2312" w:cs="仿宋"/>
          <w:sz w:val="32"/>
          <w:szCs w:val="32"/>
        </w:rPr>
        <w:t xml:space="preserve">学位评定分委员会主席（签字）： </w:t>
      </w:r>
    </w:p>
    <w:p w14:paraId="79365DD6">
      <w:pPr>
        <w:spacing w:line="560" w:lineRule="exact"/>
        <w:ind w:firstLine="640" w:firstLineChars="200"/>
        <w:rPr>
          <w:rFonts w:eastAsia="仿宋_GB2312" w:cs="仿宋"/>
          <w:sz w:val="32"/>
          <w:szCs w:val="32"/>
        </w:rPr>
      </w:pPr>
      <w:r>
        <w:rPr>
          <w:rFonts w:hint="eastAsia" w:eastAsia="仿宋_GB2312" w:cs="仿宋"/>
          <w:sz w:val="32"/>
          <w:szCs w:val="32"/>
        </w:rPr>
        <w:t>分管院长签字（学院公章）：</w:t>
      </w:r>
    </w:p>
    <w:p w14:paraId="297B390F">
      <w:pPr>
        <w:spacing w:line="560" w:lineRule="exact"/>
        <w:ind w:firstLine="640" w:firstLineChars="200"/>
        <w:rPr>
          <w:rFonts w:eastAsia="仿宋"/>
          <w:color w:val="000000" w:themeColor="text1"/>
          <w:sz w:val="32"/>
          <w:szCs w:val="32"/>
          <w14:textFill>
            <w14:solidFill>
              <w14:schemeClr w14:val="tx1"/>
            </w14:solidFill>
          </w14:textFill>
        </w:rPr>
      </w:pPr>
    </w:p>
    <w:p w14:paraId="7314D35C">
      <w:pPr>
        <w:spacing w:line="560" w:lineRule="exact"/>
        <w:ind w:firstLine="640" w:firstLineChars="200"/>
        <w:rPr>
          <w:rFonts w:eastAsia="仿宋_GB2312" w:cs="仿宋"/>
          <w:sz w:val="32"/>
          <w:szCs w:val="32"/>
        </w:rPr>
      </w:pPr>
    </w:p>
    <w:p w14:paraId="66F67066">
      <w:pPr>
        <w:spacing w:line="560" w:lineRule="exact"/>
        <w:ind w:firstLine="640" w:firstLineChars="200"/>
        <w:rPr>
          <w:rFonts w:eastAsia="仿宋_GB2312" w:cs="仿宋"/>
          <w:sz w:val="32"/>
          <w:szCs w:val="32"/>
        </w:rPr>
      </w:pPr>
    </w:p>
    <w:p w14:paraId="31A33D8D">
      <w:pPr>
        <w:spacing w:line="480" w:lineRule="exact"/>
        <w:jc w:val="center"/>
        <w:rPr>
          <w:rFonts w:eastAsia="黑体"/>
          <w:bCs/>
          <w:color w:val="000000"/>
          <w:sz w:val="36"/>
          <w:szCs w:val="36"/>
        </w:rPr>
      </w:pPr>
    </w:p>
    <w:p w14:paraId="1DD770B5">
      <w:pPr>
        <w:spacing w:line="560" w:lineRule="exact"/>
        <w:ind w:firstLine="640" w:firstLineChars="200"/>
        <w:rPr>
          <w:rFonts w:eastAsia="仿宋_GB2312" w:cs="仿宋"/>
          <w:sz w:val="32"/>
          <w:szCs w:val="32"/>
        </w:rPr>
      </w:pPr>
    </w:p>
    <w:p w14:paraId="55F66520">
      <w:pPr>
        <w:spacing w:line="480" w:lineRule="exact"/>
        <w:jc w:val="center"/>
        <w:rPr>
          <w:rFonts w:eastAsia="黑体"/>
          <w:bCs/>
          <w:color w:val="000000"/>
          <w:sz w:val="36"/>
          <w:szCs w:val="36"/>
        </w:rPr>
      </w:pPr>
    </w:p>
    <w:p w14:paraId="68013C45">
      <w:pPr>
        <w:spacing w:line="480" w:lineRule="exact"/>
        <w:jc w:val="center"/>
        <w:rPr>
          <w:rFonts w:eastAsia="黑体"/>
          <w:bCs/>
          <w:color w:val="000000"/>
          <w:sz w:val="36"/>
          <w:szCs w:val="36"/>
        </w:rPr>
      </w:pPr>
    </w:p>
    <w:p w14:paraId="12FEA4E3">
      <w:pPr>
        <w:spacing w:line="480" w:lineRule="exact"/>
        <w:jc w:val="center"/>
        <w:rPr>
          <w:rFonts w:eastAsia="黑体"/>
          <w:bCs/>
          <w:color w:val="000000"/>
          <w:sz w:val="36"/>
          <w:szCs w:val="36"/>
        </w:rPr>
      </w:pPr>
    </w:p>
    <w:p w14:paraId="73E6F4A9">
      <w:pPr>
        <w:widowControl/>
        <w:jc w:val="left"/>
        <w:rPr>
          <w:rFonts w:eastAsia="黑体"/>
          <w:bCs/>
          <w:color w:val="000000"/>
          <w:sz w:val="36"/>
          <w:szCs w:val="36"/>
        </w:rPr>
      </w:pPr>
      <w:r>
        <w:rPr>
          <w:rFonts w:eastAsia="黑体"/>
          <w:bCs/>
          <w:color w:val="000000"/>
          <w:sz w:val="36"/>
          <w:szCs w:val="36"/>
        </w:rPr>
        <w:br w:type="page"/>
      </w:r>
    </w:p>
    <w:p w14:paraId="123B2230">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eastAsia="黑体" w:cs="黑体"/>
          <w:bCs/>
          <w:sz w:val="36"/>
          <w:szCs w:val="36"/>
        </w:rPr>
      </w:pPr>
      <w:r>
        <w:rPr>
          <w:rFonts w:hint="eastAsia" w:eastAsia="黑体"/>
          <w:bCs/>
          <w:color w:val="000000"/>
          <w:sz w:val="36"/>
          <w:szCs w:val="36"/>
        </w:rPr>
        <w:t>兽医硕士</w:t>
      </w:r>
      <w:r>
        <w:rPr>
          <w:rFonts w:hint="eastAsia" w:eastAsia="黑体" w:cs="黑体"/>
          <w:bCs/>
          <w:sz w:val="36"/>
          <w:szCs w:val="36"/>
        </w:rPr>
        <w:t>专业学位研究生课程设置及学分</w:t>
      </w:r>
      <w:bookmarkStart w:id="2" w:name="_GoBack"/>
      <w:bookmarkEnd w:id="2"/>
    </w:p>
    <w:tbl>
      <w:tblPr>
        <w:tblStyle w:val="9"/>
        <w:tblpPr w:leftFromText="180" w:rightFromText="180" w:vertAnchor="text" w:tblpX="10214" w:tblpY="-349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1"/>
      </w:tblGrid>
      <w:tr w14:paraId="354DC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611" w:type="dxa"/>
          </w:tcPr>
          <w:p w14:paraId="21711CE5">
            <w:pPr>
              <w:jc w:val="center"/>
              <w:rPr>
                <w:rFonts w:eastAsia="黑体"/>
                <w:bCs/>
                <w:sz w:val="32"/>
                <w:szCs w:val="32"/>
              </w:rPr>
            </w:pPr>
          </w:p>
        </w:tc>
      </w:tr>
      <w:tr w14:paraId="783E2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611" w:type="dxa"/>
          </w:tcPr>
          <w:p w14:paraId="21689047">
            <w:pPr>
              <w:jc w:val="center"/>
              <w:rPr>
                <w:rFonts w:eastAsia="黑体"/>
                <w:bCs/>
                <w:sz w:val="32"/>
                <w:szCs w:val="32"/>
              </w:rPr>
            </w:pPr>
          </w:p>
        </w:tc>
      </w:tr>
    </w:tbl>
    <w:tbl>
      <w:tblPr>
        <w:tblStyle w:val="8"/>
        <w:tblW w:w="9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90"/>
        <w:gridCol w:w="1096"/>
        <w:gridCol w:w="2409"/>
        <w:gridCol w:w="708"/>
        <w:gridCol w:w="709"/>
        <w:gridCol w:w="709"/>
        <w:gridCol w:w="709"/>
        <w:gridCol w:w="1135"/>
        <w:gridCol w:w="850"/>
      </w:tblGrid>
      <w:tr w14:paraId="00FFC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047" w:hRule="atLeast"/>
          <w:tblHeader/>
          <w:jc w:val="center"/>
        </w:trPr>
        <w:tc>
          <w:tcPr>
            <w:tcW w:w="890" w:type="dxa"/>
            <w:vAlign w:val="center"/>
          </w:tcPr>
          <w:p w14:paraId="49F2A47F">
            <w:pPr>
              <w:snapToGrid w:val="0"/>
              <w:ind w:right="-13" w:rightChars="-6"/>
              <w:jc w:val="center"/>
              <w:rPr>
                <w:rFonts w:eastAsia="仿宋_GB2312"/>
                <w:b/>
                <w:sz w:val="24"/>
              </w:rPr>
            </w:pPr>
            <w:r>
              <w:rPr>
                <w:rFonts w:eastAsia="仿宋_GB2312"/>
                <w:b/>
                <w:sz w:val="24"/>
              </w:rPr>
              <w:t>类别</w:t>
            </w:r>
          </w:p>
        </w:tc>
        <w:tc>
          <w:tcPr>
            <w:tcW w:w="1096" w:type="dxa"/>
            <w:vAlign w:val="center"/>
          </w:tcPr>
          <w:p w14:paraId="6103ED15">
            <w:pPr>
              <w:snapToGrid w:val="0"/>
              <w:ind w:right="-13" w:rightChars="-6"/>
              <w:jc w:val="center"/>
              <w:rPr>
                <w:rFonts w:eastAsia="仿宋_GB2312"/>
                <w:b/>
                <w:sz w:val="24"/>
              </w:rPr>
            </w:pPr>
            <w:r>
              <w:rPr>
                <w:rFonts w:eastAsia="仿宋_GB2312"/>
                <w:b/>
                <w:sz w:val="24"/>
              </w:rPr>
              <w:t>课程编号</w:t>
            </w:r>
          </w:p>
        </w:tc>
        <w:tc>
          <w:tcPr>
            <w:tcW w:w="2409" w:type="dxa"/>
            <w:vAlign w:val="center"/>
          </w:tcPr>
          <w:p w14:paraId="1D16D5F1">
            <w:pPr>
              <w:snapToGrid w:val="0"/>
              <w:ind w:right="-13" w:rightChars="-6"/>
              <w:jc w:val="center"/>
              <w:rPr>
                <w:rFonts w:eastAsia="仿宋_GB2312"/>
                <w:b/>
                <w:sz w:val="24"/>
              </w:rPr>
            </w:pPr>
            <w:r>
              <w:rPr>
                <w:rFonts w:eastAsia="仿宋_GB2312"/>
                <w:b/>
                <w:sz w:val="24"/>
              </w:rPr>
              <w:t>课程名称</w:t>
            </w:r>
          </w:p>
        </w:tc>
        <w:tc>
          <w:tcPr>
            <w:tcW w:w="708" w:type="dxa"/>
            <w:vAlign w:val="center"/>
          </w:tcPr>
          <w:p w14:paraId="7136A6E1">
            <w:pPr>
              <w:snapToGrid w:val="0"/>
              <w:ind w:right="-13" w:rightChars="-6"/>
              <w:jc w:val="center"/>
              <w:rPr>
                <w:rFonts w:eastAsia="仿宋_GB2312"/>
                <w:b/>
                <w:sz w:val="24"/>
              </w:rPr>
            </w:pPr>
            <w:r>
              <w:rPr>
                <w:rFonts w:eastAsia="仿宋_GB2312"/>
                <w:b/>
                <w:sz w:val="24"/>
              </w:rPr>
              <w:t>学分</w:t>
            </w:r>
          </w:p>
        </w:tc>
        <w:tc>
          <w:tcPr>
            <w:tcW w:w="709" w:type="dxa"/>
            <w:vAlign w:val="center"/>
          </w:tcPr>
          <w:p w14:paraId="65C714F4">
            <w:pPr>
              <w:snapToGrid w:val="0"/>
              <w:ind w:right="-13" w:rightChars="-6"/>
              <w:jc w:val="center"/>
              <w:rPr>
                <w:rFonts w:eastAsia="仿宋_GB2312"/>
                <w:b/>
                <w:sz w:val="24"/>
              </w:rPr>
            </w:pPr>
            <w:r>
              <w:rPr>
                <w:rFonts w:eastAsia="仿宋_GB2312"/>
                <w:b/>
                <w:sz w:val="24"/>
              </w:rPr>
              <w:t>学时</w:t>
            </w:r>
          </w:p>
        </w:tc>
        <w:tc>
          <w:tcPr>
            <w:tcW w:w="709" w:type="dxa"/>
            <w:vAlign w:val="center"/>
          </w:tcPr>
          <w:p w14:paraId="4B8C477C">
            <w:pPr>
              <w:snapToGrid w:val="0"/>
              <w:ind w:right="-13" w:rightChars="-6"/>
              <w:jc w:val="center"/>
              <w:rPr>
                <w:rFonts w:eastAsia="仿宋_GB2312"/>
                <w:b/>
                <w:sz w:val="24"/>
              </w:rPr>
            </w:pPr>
            <w:r>
              <w:rPr>
                <w:rFonts w:eastAsia="仿宋_GB2312"/>
                <w:b/>
                <w:sz w:val="24"/>
              </w:rPr>
              <w:t>开课学期</w:t>
            </w:r>
          </w:p>
        </w:tc>
        <w:tc>
          <w:tcPr>
            <w:tcW w:w="709" w:type="dxa"/>
            <w:vAlign w:val="center"/>
          </w:tcPr>
          <w:p w14:paraId="735F4775">
            <w:pPr>
              <w:snapToGrid w:val="0"/>
              <w:ind w:right="-13" w:rightChars="-6"/>
              <w:jc w:val="center"/>
              <w:rPr>
                <w:rFonts w:eastAsia="仿宋_GB2312"/>
                <w:b/>
                <w:sz w:val="24"/>
              </w:rPr>
            </w:pPr>
            <w:r>
              <w:rPr>
                <w:rFonts w:eastAsia="仿宋_GB2312"/>
                <w:b/>
                <w:sz w:val="24"/>
              </w:rPr>
              <w:t>考核方式</w:t>
            </w:r>
          </w:p>
        </w:tc>
        <w:tc>
          <w:tcPr>
            <w:tcW w:w="1135" w:type="dxa"/>
            <w:vAlign w:val="center"/>
          </w:tcPr>
          <w:p w14:paraId="15CFE29F">
            <w:pPr>
              <w:snapToGrid w:val="0"/>
              <w:ind w:right="-13" w:rightChars="-6"/>
              <w:jc w:val="center"/>
              <w:rPr>
                <w:rFonts w:eastAsia="仿宋_GB2312"/>
                <w:b/>
                <w:sz w:val="24"/>
              </w:rPr>
            </w:pPr>
            <w:r>
              <w:rPr>
                <w:rFonts w:eastAsia="仿宋_GB2312"/>
                <w:b/>
                <w:sz w:val="24"/>
              </w:rPr>
              <w:t>专业方向</w:t>
            </w:r>
          </w:p>
        </w:tc>
        <w:tc>
          <w:tcPr>
            <w:tcW w:w="850" w:type="dxa"/>
            <w:vAlign w:val="center"/>
          </w:tcPr>
          <w:p w14:paraId="62889E55">
            <w:pPr>
              <w:snapToGrid w:val="0"/>
              <w:ind w:right="-13" w:rightChars="-6"/>
              <w:jc w:val="center"/>
              <w:rPr>
                <w:rFonts w:eastAsia="仿宋_GB2312"/>
                <w:b/>
                <w:sz w:val="24"/>
              </w:rPr>
            </w:pPr>
            <w:r>
              <w:rPr>
                <w:rFonts w:eastAsia="仿宋_GB2312"/>
                <w:b/>
                <w:sz w:val="24"/>
              </w:rPr>
              <w:t>备注</w:t>
            </w:r>
          </w:p>
        </w:tc>
      </w:tr>
      <w:tr w14:paraId="18F19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53" w:hRule="atLeast"/>
          <w:jc w:val="center"/>
        </w:trPr>
        <w:tc>
          <w:tcPr>
            <w:tcW w:w="890" w:type="dxa"/>
            <w:vMerge w:val="restart"/>
            <w:vAlign w:val="center"/>
          </w:tcPr>
          <w:p w14:paraId="18C06F20">
            <w:pPr>
              <w:snapToGrid w:val="0"/>
              <w:ind w:right="-13" w:rightChars="-6"/>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学位</w:t>
            </w:r>
          </w:p>
          <w:p w14:paraId="111E6FD0">
            <w:pPr>
              <w:snapToGrid w:val="0"/>
              <w:ind w:right="-13" w:rightChars="-6"/>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公共课（</w:t>
            </w:r>
            <w:r>
              <w:rPr>
                <w:rFonts w:hint="eastAsia" w:eastAsia="仿宋_GB2312"/>
                <w:color w:val="000000" w:themeColor="text1"/>
                <w:sz w:val="24"/>
                <w14:textFill>
                  <w14:solidFill>
                    <w14:schemeClr w14:val="tx1"/>
                  </w14:solidFill>
                </w14:textFill>
              </w:rPr>
              <w:t>7</w:t>
            </w:r>
            <w:r>
              <w:rPr>
                <w:rFonts w:eastAsia="仿宋_GB2312"/>
                <w:color w:val="000000" w:themeColor="text1"/>
                <w:sz w:val="24"/>
                <w14:textFill>
                  <w14:solidFill>
                    <w14:schemeClr w14:val="tx1"/>
                  </w14:solidFill>
                </w14:textFill>
              </w:rPr>
              <w:t>学分）</w:t>
            </w:r>
          </w:p>
        </w:tc>
        <w:tc>
          <w:tcPr>
            <w:tcW w:w="1096" w:type="dxa"/>
            <w:vAlign w:val="center"/>
          </w:tcPr>
          <w:p w14:paraId="34608529">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22000001</w:t>
            </w:r>
          </w:p>
        </w:tc>
        <w:tc>
          <w:tcPr>
            <w:tcW w:w="2409" w:type="dxa"/>
            <w:vAlign w:val="center"/>
          </w:tcPr>
          <w:p w14:paraId="371CA5FB">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新时代中国特色社会主义理论与实践</w:t>
            </w:r>
          </w:p>
        </w:tc>
        <w:tc>
          <w:tcPr>
            <w:tcW w:w="708" w:type="dxa"/>
            <w:vAlign w:val="center"/>
          </w:tcPr>
          <w:p w14:paraId="3DE49325">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0D8DC4FB">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43E7CFB1">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vAlign w:val="center"/>
          </w:tcPr>
          <w:p w14:paraId="1AA4CA95">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考试</w:t>
            </w:r>
          </w:p>
        </w:tc>
        <w:tc>
          <w:tcPr>
            <w:tcW w:w="1135" w:type="dxa"/>
            <w:vAlign w:val="center"/>
          </w:tcPr>
          <w:p w14:paraId="4DA2DCF8">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1C15D93D">
            <w:pPr>
              <w:widowControl/>
              <w:jc w:val="left"/>
              <w:rPr>
                <w:rFonts w:eastAsia="仿宋_GB2312"/>
                <w:color w:val="000000" w:themeColor="text1"/>
                <w:sz w:val="24"/>
                <w14:textFill>
                  <w14:solidFill>
                    <w14:schemeClr w14:val="tx1"/>
                  </w14:solidFill>
                </w14:textFill>
              </w:rPr>
            </w:pPr>
          </w:p>
        </w:tc>
      </w:tr>
      <w:tr w14:paraId="7ED3F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vAlign w:val="center"/>
          </w:tcPr>
          <w:p w14:paraId="5E0DED1F">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217F94F1">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22000003</w:t>
            </w:r>
          </w:p>
        </w:tc>
        <w:tc>
          <w:tcPr>
            <w:tcW w:w="2409" w:type="dxa"/>
            <w:vAlign w:val="center"/>
          </w:tcPr>
          <w:p w14:paraId="2F968595">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自然辩证法概论</w:t>
            </w:r>
          </w:p>
        </w:tc>
        <w:tc>
          <w:tcPr>
            <w:tcW w:w="708" w:type="dxa"/>
            <w:vAlign w:val="center"/>
          </w:tcPr>
          <w:p w14:paraId="03E08F7F">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vAlign w:val="center"/>
          </w:tcPr>
          <w:p w14:paraId="09A37EB8">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16</w:t>
            </w:r>
          </w:p>
        </w:tc>
        <w:tc>
          <w:tcPr>
            <w:tcW w:w="709" w:type="dxa"/>
            <w:vAlign w:val="center"/>
          </w:tcPr>
          <w:p w14:paraId="48D7A4AE">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2CBFB30D">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考试</w:t>
            </w:r>
          </w:p>
        </w:tc>
        <w:tc>
          <w:tcPr>
            <w:tcW w:w="1135" w:type="dxa"/>
            <w:vAlign w:val="center"/>
          </w:tcPr>
          <w:p w14:paraId="41D40849">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47E87233">
            <w:pPr>
              <w:widowControl/>
              <w:jc w:val="left"/>
              <w:rPr>
                <w:rFonts w:eastAsia="仿宋_GB2312"/>
                <w:color w:val="000000" w:themeColor="text1"/>
                <w:sz w:val="24"/>
                <w14:textFill>
                  <w14:solidFill>
                    <w14:schemeClr w14:val="tx1"/>
                  </w14:solidFill>
                </w14:textFill>
              </w:rPr>
            </w:pPr>
          </w:p>
        </w:tc>
      </w:tr>
      <w:tr w14:paraId="3FD35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53" w:hRule="atLeast"/>
          <w:jc w:val="center"/>
        </w:trPr>
        <w:tc>
          <w:tcPr>
            <w:tcW w:w="890" w:type="dxa"/>
            <w:vMerge w:val="continue"/>
            <w:vAlign w:val="center"/>
          </w:tcPr>
          <w:p w14:paraId="703D531D">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623CC45B">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2200000</w:t>
            </w:r>
            <w:r>
              <w:rPr>
                <w:rFonts w:eastAsia="仿宋_GB2312"/>
                <w:color w:val="000000" w:themeColor="text1"/>
                <w:sz w:val="24"/>
                <w14:textFill>
                  <w14:solidFill>
                    <w14:schemeClr w14:val="tx1"/>
                  </w14:solidFill>
                </w14:textFill>
              </w:rPr>
              <w:t>5</w:t>
            </w:r>
          </w:p>
        </w:tc>
        <w:tc>
          <w:tcPr>
            <w:tcW w:w="2409" w:type="dxa"/>
            <w:vAlign w:val="center"/>
          </w:tcPr>
          <w:p w14:paraId="00854DC6">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专硕公共英语</w:t>
            </w:r>
          </w:p>
        </w:tc>
        <w:tc>
          <w:tcPr>
            <w:tcW w:w="708" w:type="dxa"/>
            <w:vAlign w:val="center"/>
          </w:tcPr>
          <w:p w14:paraId="1D11F0B7">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w:t>
            </w:r>
          </w:p>
        </w:tc>
        <w:tc>
          <w:tcPr>
            <w:tcW w:w="709" w:type="dxa"/>
            <w:vAlign w:val="center"/>
          </w:tcPr>
          <w:p w14:paraId="60056347">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48</w:t>
            </w:r>
          </w:p>
        </w:tc>
        <w:tc>
          <w:tcPr>
            <w:tcW w:w="709" w:type="dxa"/>
            <w:vAlign w:val="center"/>
          </w:tcPr>
          <w:p w14:paraId="1FCF43AB">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vAlign w:val="center"/>
          </w:tcPr>
          <w:p w14:paraId="4F87B4BD">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考试</w:t>
            </w:r>
          </w:p>
        </w:tc>
        <w:tc>
          <w:tcPr>
            <w:tcW w:w="1135" w:type="dxa"/>
            <w:vAlign w:val="center"/>
          </w:tcPr>
          <w:p w14:paraId="42C872A2">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75767FBE">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可申请免修</w:t>
            </w:r>
          </w:p>
        </w:tc>
      </w:tr>
      <w:tr w14:paraId="5B8D4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53" w:hRule="atLeast"/>
          <w:jc w:val="center"/>
        </w:trPr>
        <w:tc>
          <w:tcPr>
            <w:tcW w:w="890" w:type="dxa"/>
            <w:vMerge w:val="continue"/>
            <w:vAlign w:val="center"/>
          </w:tcPr>
          <w:p w14:paraId="6119E075">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03FD356B">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22000021</w:t>
            </w:r>
          </w:p>
        </w:tc>
        <w:tc>
          <w:tcPr>
            <w:tcW w:w="2409" w:type="dxa"/>
            <w:vAlign w:val="center"/>
          </w:tcPr>
          <w:p w14:paraId="6F348C3E">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习近平总书记关于教育的重要论述研究</w:t>
            </w:r>
          </w:p>
        </w:tc>
        <w:tc>
          <w:tcPr>
            <w:tcW w:w="708" w:type="dxa"/>
            <w:vAlign w:val="center"/>
          </w:tcPr>
          <w:p w14:paraId="6480AB9C">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vAlign w:val="center"/>
          </w:tcPr>
          <w:p w14:paraId="152BF76C">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16</w:t>
            </w:r>
          </w:p>
        </w:tc>
        <w:tc>
          <w:tcPr>
            <w:tcW w:w="709" w:type="dxa"/>
            <w:vAlign w:val="center"/>
          </w:tcPr>
          <w:p w14:paraId="3E28A8F4">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vAlign w:val="center"/>
          </w:tcPr>
          <w:p w14:paraId="353B9B5A">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考试</w:t>
            </w:r>
          </w:p>
        </w:tc>
        <w:tc>
          <w:tcPr>
            <w:tcW w:w="1135" w:type="dxa"/>
            <w:vAlign w:val="center"/>
          </w:tcPr>
          <w:p w14:paraId="1C696ED2">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3320A1B0">
            <w:pPr>
              <w:widowControl/>
              <w:jc w:val="left"/>
              <w:rPr>
                <w:rFonts w:eastAsia="仿宋_GB2312"/>
                <w:color w:val="000000" w:themeColor="text1"/>
                <w:sz w:val="24"/>
                <w14:textFill>
                  <w14:solidFill>
                    <w14:schemeClr w14:val="tx1"/>
                  </w14:solidFill>
                </w14:textFill>
              </w:rPr>
            </w:pPr>
          </w:p>
        </w:tc>
      </w:tr>
      <w:tr w14:paraId="49C2B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restart"/>
            <w:vAlign w:val="center"/>
          </w:tcPr>
          <w:p w14:paraId="7616A28D">
            <w:pPr>
              <w:snapToGrid w:val="0"/>
              <w:ind w:right="-13" w:rightChars="-6"/>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学位</w:t>
            </w:r>
          </w:p>
          <w:p w14:paraId="34438CA1">
            <w:pPr>
              <w:snapToGrid w:val="0"/>
              <w:ind w:right="-13" w:rightChars="-6"/>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基础课（</w:t>
            </w:r>
            <w:r>
              <w:rPr>
                <w:rFonts w:hint="eastAsia" w:eastAsia="仿宋_GB2312"/>
                <w:color w:val="000000" w:themeColor="text1"/>
                <w:sz w:val="24"/>
                <w14:textFill>
                  <w14:solidFill>
                    <w14:schemeClr w14:val="tx1"/>
                  </w14:solidFill>
                </w14:textFill>
              </w:rPr>
              <w:t>8</w:t>
            </w:r>
            <w:r>
              <w:rPr>
                <w:rFonts w:eastAsia="仿宋_GB2312"/>
                <w:color w:val="000000" w:themeColor="text1"/>
                <w:sz w:val="24"/>
                <w14:textFill>
                  <w14:solidFill>
                    <w14:schemeClr w14:val="tx1"/>
                  </w14:solidFill>
                </w14:textFill>
              </w:rPr>
              <w:t>学分）</w:t>
            </w:r>
          </w:p>
        </w:tc>
        <w:tc>
          <w:tcPr>
            <w:tcW w:w="1096" w:type="dxa"/>
            <w:vAlign w:val="center"/>
          </w:tcPr>
          <w:p w14:paraId="2C86C6B2">
            <w:pPr>
              <w:widowControl/>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25190401</w:t>
            </w:r>
          </w:p>
        </w:tc>
        <w:tc>
          <w:tcPr>
            <w:tcW w:w="2409" w:type="dxa"/>
            <w:vAlign w:val="center"/>
          </w:tcPr>
          <w:p w14:paraId="24A09DEB">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生产兽医应用</w:t>
            </w:r>
          </w:p>
        </w:tc>
        <w:tc>
          <w:tcPr>
            <w:tcW w:w="708" w:type="dxa"/>
            <w:vAlign w:val="center"/>
          </w:tcPr>
          <w:p w14:paraId="386CC2DD">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w:t>
            </w:r>
          </w:p>
        </w:tc>
        <w:tc>
          <w:tcPr>
            <w:tcW w:w="709" w:type="dxa"/>
            <w:vAlign w:val="center"/>
          </w:tcPr>
          <w:p w14:paraId="03C64739">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48</w:t>
            </w:r>
          </w:p>
        </w:tc>
        <w:tc>
          <w:tcPr>
            <w:tcW w:w="709" w:type="dxa"/>
            <w:vAlign w:val="center"/>
          </w:tcPr>
          <w:p w14:paraId="010C3FB1">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2FEBD8B3">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vAlign w:val="center"/>
          </w:tcPr>
          <w:p w14:paraId="6E11E818">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3F0CAA75">
            <w:pPr>
              <w:snapToGrid w:val="0"/>
              <w:jc w:val="center"/>
              <w:rPr>
                <w:rFonts w:eastAsia="仿宋_GB2312"/>
                <w:color w:val="000000" w:themeColor="text1"/>
                <w:sz w:val="24"/>
                <w14:textFill>
                  <w14:solidFill>
                    <w14:schemeClr w14:val="tx1"/>
                  </w14:solidFill>
                </w14:textFill>
              </w:rPr>
            </w:pPr>
          </w:p>
        </w:tc>
      </w:tr>
      <w:tr w14:paraId="42EC9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vAlign w:val="center"/>
          </w:tcPr>
          <w:p w14:paraId="7672117F">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0C93DB51">
            <w:pPr>
              <w:widowControl/>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25190402</w:t>
            </w:r>
          </w:p>
        </w:tc>
        <w:tc>
          <w:tcPr>
            <w:tcW w:w="2409" w:type="dxa"/>
            <w:vAlign w:val="center"/>
          </w:tcPr>
          <w:p w14:paraId="62A3EF56">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智慧兽医研究</w:t>
            </w:r>
          </w:p>
        </w:tc>
        <w:tc>
          <w:tcPr>
            <w:tcW w:w="708" w:type="dxa"/>
            <w:vAlign w:val="center"/>
          </w:tcPr>
          <w:p w14:paraId="3A499CFD">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w:t>
            </w:r>
          </w:p>
        </w:tc>
        <w:tc>
          <w:tcPr>
            <w:tcW w:w="709" w:type="dxa"/>
            <w:vAlign w:val="center"/>
          </w:tcPr>
          <w:p w14:paraId="7E35FBDE">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48</w:t>
            </w:r>
          </w:p>
        </w:tc>
        <w:tc>
          <w:tcPr>
            <w:tcW w:w="709" w:type="dxa"/>
            <w:vAlign w:val="center"/>
          </w:tcPr>
          <w:p w14:paraId="54B8D8A7">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vAlign w:val="center"/>
          </w:tcPr>
          <w:p w14:paraId="6E082B6A">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vAlign w:val="center"/>
          </w:tcPr>
          <w:p w14:paraId="5BB4BA48">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1BE3B05A">
            <w:pPr>
              <w:snapToGrid w:val="0"/>
              <w:jc w:val="center"/>
              <w:rPr>
                <w:rFonts w:eastAsia="仿宋_GB2312"/>
                <w:color w:val="000000" w:themeColor="text1"/>
                <w:sz w:val="24"/>
                <w14:textFill>
                  <w14:solidFill>
                    <w14:schemeClr w14:val="tx1"/>
                  </w14:solidFill>
                </w14:textFill>
              </w:rPr>
            </w:pPr>
          </w:p>
        </w:tc>
      </w:tr>
      <w:tr w14:paraId="7529C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vAlign w:val="center"/>
          </w:tcPr>
          <w:p w14:paraId="36D4333A">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5558D51B">
            <w:pPr>
              <w:widowControl/>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25190403</w:t>
            </w:r>
          </w:p>
        </w:tc>
        <w:tc>
          <w:tcPr>
            <w:tcW w:w="2409" w:type="dxa"/>
            <w:vAlign w:val="center"/>
          </w:tcPr>
          <w:p w14:paraId="6F9CA71B">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论文写作与学术规范</w:t>
            </w:r>
          </w:p>
        </w:tc>
        <w:tc>
          <w:tcPr>
            <w:tcW w:w="708" w:type="dxa"/>
            <w:vAlign w:val="center"/>
          </w:tcPr>
          <w:p w14:paraId="3AB292E9">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w:t>
            </w:r>
          </w:p>
        </w:tc>
        <w:tc>
          <w:tcPr>
            <w:tcW w:w="709" w:type="dxa"/>
            <w:vAlign w:val="center"/>
          </w:tcPr>
          <w:p w14:paraId="7449C3A3">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25C9AE11">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3E6C05A4">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考试</w:t>
            </w:r>
          </w:p>
        </w:tc>
        <w:tc>
          <w:tcPr>
            <w:tcW w:w="1135" w:type="dxa"/>
            <w:vAlign w:val="center"/>
          </w:tcPr>
          <w:p w14:paraId="28544418">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31A6131B">
            <w:pPr>
              <w:snapToGrid w:val="0"/>
              <w:jc w:val="center"/>
              <w:rPr>
                <w:rFonts w:eastAsia="仿宋_GB2312"/>
                <w:color w:val="000000" w:themeColor="text1"/>
                <w:sz w:val="24"/>
                <w14:textFill>
                  <w14:solidFill>
                    <w14:schemeClr w14:val="tx1"/>
                  </w14:solidFill>
                </w14:textFill>
              </w:rPr>
            </w:pPr>
          </w:p>
        </w:tc>
      </w:tr>
      <w:tr w14:paraId="4A0BC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restart"/>
            <w:vAlign w:val="center"/>
          </w:tcPr>
          <w:p w14:paraId="3957E45B">
            <w:pPr>
              <w:snapToGrid w:val="0"/>
              <w:ind w:right="-13" w:rightChars="-6"/>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学位</w:t>
            </w:r>
          </w:p>
          <w:p w14:paraId="1E8671DA">
            <w:pPr>
              <w:snapToGrid w:val="0"/>
              <w:ind w:right="-13" w:rightChars="-6"/>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专业课（</w:t>
            </w:r>
            <w:r>
              <w:rPr>
                <w:rFonts w:hint="eastAsia" w:eastAsia="仿宋_GB2312"/>
                <w:color w:val="000000" w:themeColor="text1"/>
                <w:sz w:val="24"/>
                <w14:textFill>
                  <w14:solidFill>
                    <w14:schemeClr w14:val="tx1"/>
                  </w14:solidFill>
                </w14:textFill>
              </w:rPr>
              <w:t>8</w:t>
            </w:r>
            <w:r>
              <w:rPr>
                <w:rFonts w:eastAsia="仿宋_GB2312"/>
                <w:color w:val="000000" w:themeColor="text1"/>
                <w:sz w:val="24"/>
                <w14:textFill>
                  <w14:solidFill>
                    <w14:schemeClr w14:val="tx1"/>
                  </w14:solidFill>
                </w14:textFill>
              </w:rPr>
              <w:t>学分）</w:t>
            </w:r>
          </w:p>
        </w:tc>
        <w:tc>
          <w:tcPr>
            <w:tcW w:w="1096" w:type="dxa"/>
            <w:vAlign w:val="center"/>
          </w:tcPr>
          <w:p w14:paraId="32846E95">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25190404</w:t>
            </w:r>
          </w:p>
        </w:tc>
        <w:tc>
          <w:tcPr>
            <w:tcW w:w="2409" w:type="dxa"/>
            <w:vAlign w:val="center"/>
          </w:tcPr>
          <w:p w14:paraId="4CFB77B7">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兽医病理学专题</w:t>
            </w:r>
          </w:p>
        </w:tc>
        <w:tc>
          <w:tcPr>
            <w:tcW w:w="708" w:type="dxa"/>
            <w:vAlign w:val="center"/>
          </w:tcPr>
          <w:p w14:paraId="00165934">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072802E2">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7BF409FC">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0A66894B">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考试</w:t>
            </w:r>
          </w:p>
        </w:tc>
        <w:tc>
          <w:tcPr>
            <w:tcW w:w="1135" w:type="dxa"/>
            <w:vAlign w:val="center"/>
          </w:tcPr>
          <w:p w14:paraId="5E27B728">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281AC14A">
            <w:pPr>
              <w:snapToGrid w:val="0"/>
              <w:jc w:val="center"/>
              <w:rPr>
                <w:rFonts w:eastAsia="仿宋_GB2312"/>
                <w:color w:val="000000" w:themeColor="text1"/>
                <w:sz w:val="24"/>
                <w14:textFill>
                  <w14:solidFill>
                    <w14:schemeClr w14:val="tx1"/>
                  </w14:solidFill>
                </w14:textFill>
              </w:rPr>
            </w:pPr>
          </w:p>
        </w:tc>
      </w:tr>
      <w:tr w14:paraId="409D1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8" w:hRule="atLeast"/>
          <w:jc w:val="center"/>
        </w:trPr>
        <w:tc>
          <w:tcPr>
            <w:tcW w:w="890" w:type="dxa"/>
            <w:vMerge w:val="continue"/>
            <w:vAlign w:val="center"/>
          </w:tcPr>
          <w:p w14:paraId="6D320DDB">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36137CD3">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25190405</w:t>
            </w:r>
          </w:p>
        </w:tc>
        <w:tc>
          <w:tcPr>
            <w:tcW w:w="2409" w:type="dxa"/>
            <w:vAlign w:val="center"/>
          </w:tcPr>
          <w:p w14:paraId="475BCC9F">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免疫学技术及其应用</w:t>
            </w:r>
          </w:p>
        </w:tc>
        <w:tc>
          <w:tcPr>
            <w:tcW w:w="708" w:type="dxa"/>
            <w:vAlign w:val="center"/>
          </w:tcPr>
          <w:p w14:paraId="4C92DC7E">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0E71F9B6">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62C71096">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4F477554">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考试</w:t>
            </w:r>
          </w:p>
        </w:tc>
        <w:tc>
          <w:tcPr>
            <w:tcW w:w="1135" w:type="dxa"/>
            <w:vAlign w:val="center"/>
          </w:tcPr>
          <w:p w14:paraId="6FFF5544">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6A42BD1C">
            <w:pPr>
              <w:snapToGrid w:val="0"/>
              <w:jc w:val="center"/>
              <w:rPr>
                <w:rFonts w:eastAsia="仿宋_GB2312"/>
                <w:color w:val="000000" w:themeColor="text1"/>
                <w:sz w:val="24"/>
                <w14:textFill>
                  <w14:solidFill>
                    <w14:schemeClr w14:val="tx1"/>
                  </w14:solidFill>
                </w14:textFill>
              </w:rPr>
            </w:pPr>
          </w:p>
        </w:tc>
      </w:tr>
      <w:tr w14:paraId="12307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vAlign w:val="center"/>
          </w:tcPr>
          <w:p w14:paraId="267EF995">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35CA7FCC">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25190407</w:t>
            </w:r>
          </w:p>
        </w:tc>
        <w:tc>
          <w:tcPr>
            <w:tcW w:w="2409" w:type="dxa"/>
            <w:vAlign w:val="center"/>
          </w:tcPr>
          <w:p w14:paraId="789D92BB">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动物检疫与兽医法规</w:t>
            </w:r>
          </w:p>
        </w:tc>
        <w:tc>
          <w:tcPr>
            <w:tcW w:w="708" w:type="dxa"/>
            <w:vAlign w:val="center"/>
          </w:tcPr>
          <w:p w14:paraId="357C91C6">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6A42F537">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2AB61F67">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vAlign w:val="center"/>
          </w:tcPr>
          <w:p w14:paraId="4A3E0971">
            <w:pPr>
              <w:widowControl/>
              <w:jc w:val="left"/>
              <w:rPr>
                <w:rFonts w:hint="eastAsia" w:eastAsia="仿宋_GB2312"/>
                <w:color w:val="000000" w:themeColor="text1"/>
                <w:sz w:val="24"/>
                <w:lang w:eastAsia="zh-CN"/>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考试</w:t>
            </w:r>
          </w:p>
        </w:tc>
        <w:tc>
          <w:tcPr>
            <w:tcW w:w="1135" w:type="dxa"/>
            <w:vAlign w:val="center"/>
          </w:tcPr>
          <w:p w14:paraId="39DCC67D">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4FCEFD5F">
            <w:pPr>
              <w:snapToGrid w:val="0"/>
              <w:jc w:val="center"/>
              <w:rPr>
                <w:rFonts w:eastAsia="仿宋_GB2312"/>
                <w:color w:val="000000" w:themeColor="text1"/>
                <w:sz w:val="24"/>
                <w14:textFill>
                  <w14:solidFill>
                    <w14:schemeClr w14:val="tx1"/>
                  </w14:solidFill>
                </w14:textFill>
              </w:rPr>
            </w:pPr>
          </w:p>
        </w:tc>
      </w:tr>
      <w:tr w14:paraId="488D0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vAlign w:val="center"/>
          </w:tcPr>
          <w:p w14:paraId="248F4B24">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6F0B11E0">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25190408</w:t>
            </w:r>
          </w:p>
        </w:tc>
        <w:tc>
          <w:tcPr>
            <w:tcW w:w="2409" w:type="dxa"/>
            <w:vAlign w:val="center"/>
          </w:tcPr>
          <w:p w14:paraId="2CC202F6">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兽医流行病学</w:t>
            </w:r>
          </w:p>
        </w:tc>
        <w:tc>
          <w:tcPr>
            <w:tcW w:w="708" w:type="dxa"/>
            <w:vAlign w:val="center"/>
          </w:tcPr>
          <w:p w14:paraId="3F98E760">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57BF9326">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25934638">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vAlign w:val="center"/>
          </w:tcPr>
          <w:p w14:paraId="5ED68EAE">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考试</w:t>
            </w:r>
          </w:p>
        </w:tc>
        <w:tc>
          <w:tcPr>
            <w:tcW w:w="1135" w:type="dxa"/>
            <w:vAlign w:val="center"/>
          </w:tcPr>
          <w:p w14:paraId="52F903F3">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06D12A90">
            <w:pPr>
              <w:snapToGrid w:val="0"/>
              <w:jc w:val="center"/>
              <w:rPr>
                <w:rFonts w:eastAsia="仿宋_GB2312"/>
                <w:color w:val="000000" w:themeColor="text1"/>
                <w:sz w:val="24"/>
                <w14:textFill>
                  <w14:solidFill>
                    <w14:schemeClr w14:val="tx1"/>
                  </w14:solidFill>
                </w14:textFill>
              </w:rPr>
            </w:pPr>
          </w:p>
        </w:tc>
      </w:tr>
      <w:tr w14:paraId="39A6A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restart"/>
            <w:vAlign w:val="center"/>
          </w:tcPr>
          <w:p w14:paraId="0547A657">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公共</w:t>
            </w:r>
          </w:p>
          <w:p w14:paraId="7A5CB060">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选修课（≥4学分）</w:t>
            </w:r>
          </w:p>
        </w:tc>
        <w:tc>
          <w:tcPr>
            <w:tcW w:w="1096" w:type="dxa"/>
            <w:vAlign w:val="center"/>
          </w:tcPr>
          <w:p w14:paraId="47C44E0D">
            <w:pPr>
              <w:snapToGrid w:val="0"/>
              <w:ind w:right="-13" w:rightChars="-6"/>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22000011</w:t>
            </w:r>
          </w:p>
        </w:tc>
        <w:tc>
          <w:tcPr>
            <w:tcW w:w="2409" w:type="dxa"/>
            <w:vAlign w:val="center"/>
          </w:tcPr>
          <w:p w14:paraId="57A9B09B">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生活中的美学</w:t>
            </w:r>
          </w:p>
        </w:tc>
        <w:tc>
          <w:tcPr>
            <w:tcW w:w="708" w:type="dxa"/>
            <w:vAlign w:val="center"/>
          </w:tcPr>
          <w:p w14:paraId="387E0449">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2DF3C874">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6908EE65">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376B93F4">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vAlign w:val="center"/>
          </w:tcPr>
          <w:p w14:paraId="329DA22F">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Merge w:val="restart"/>
            <w:vAlign w:val="center"/>
          </w:tcPr>
          <w:p w14:paraId="7E30A05A">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线下课程选修一门</w:t>
            </w:r>
          </w:p>
        </w:tc>
      </w:tr>
      <w:tr w14:paraId="5E58B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vAlign w:val="center"/>
          </w:tcPr>
          <w:p w14:paraId="01C94959">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618FD2E4">
            <w:pPr>
              <w:snapToGrid w:val="0"/>
              <w:spacing w:line="300" w:lineRule="exac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22000012</w:t>
            </w:r>
          </w:p>
        </w:tc>
        <w:tc>
          <w:tcPr>
            <w:tcW w:w="2409" w:type="dxa"/>
            <w:vAlign w:val="center"/>
          </w:tcPr>
          <w:p w14:paraId="2ED6DE45">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聊城城市历史与文化</w:t>
            </w:r>
          </w:p>
        </w:tc>
        <w:tc>
          <w:tcPr>
            <w:tcW w:w="708" w:type="dxa"/>
            <w:vAlign w:val="center"/>
          </w:tcPr>
          <w:p w14:paraId="52F61B4D">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201EC057">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440C912E">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196EA87C">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vAlign w:val="center"/>
          </w:tcPr>
          <w:p w14:paraId="0C08CB22">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Merge w:val="continue"/>
            <w:vAlign w:val="center"/>
          </w:tcPr>
          <w:p w14:paraId="3AF381CA">
            <w:pPr>
              <w:snapToGrid w:val="0"/>
              <w:jc w:val="center"/>
              <w:rPr>
                <w:rFonts w:eastAsia="仿宋_GB2312"/>
                <w:color w:val="000000" w:themeColor="text1"/>
                <w:sz w:val="24"/>
                <w14:textFill>
                  <w14:solidFill>
                    <w14:schemeClr w14:val="tx1"/>
                  </w14:solidFill>
                </w14:textFill>
              </w:rPr>
            </w:pPr>
          </w:p>
        </w:tc>
      </w:tr>
      <w:tr w14:paraId="20C63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vAlign w:val="center"/>
          </w:tcPr>
          <w:p w14:paraId="02F60B1A">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579B6B26">
            <w:pPr>
              <w:snapToGrid w:val="0"/>
              <w:spacing w:line="300" w:lineRule="exac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22000013</w:t>
            </w:r>
          </w:p>
        </w:tc>
        <w:tc>
          <w:tcPr>
            <w:tcW w:w="2409" w:type="dxa"/>
            <w:vAlign w:val="center"/>
          </w:tcPr>
          <w:p w14:paraId="07A800D8">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研究生特色体育</w:t>
            </w:r>
          </w:p>
        </w:tc>
        <w:tc>
          <w:tcPr>
            <w:tcW w:w="708" w:type="dxa"/>
            <w:vAlign w:val="center"/>
          </w:tcPr>
          <w:p w14:paraId="59C3EAFB">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19AEFF4C">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38A33BAC">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vAlign w:val="center"/>
          </w:tcPr>
          <w:p w14:paraId="0D953D00">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vAlign w:val="center"/>
          </w:tcPr>
          <w:p w14:paraId="05C02FB6">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Merge w:val="continue"/>
            <w:vAlign w:val="center"/>
          </w:tcPr>
          <w:p w14:paraId="33B02E94">
            <w:pPr>
              <w:snapToGrid w:val="0"/>
              <w:jc w:val="center"/>
              <w:rPr>
                <w:rFonts w:eastAsia="仿宋_GB2312"/>
                <w:color w:val="000000" w:themeColor="text1"/>
                <w:sz w:val="24"/>
                <w14:textFill>
                  <w14:solidFill>
                    <w14:schemeClr w14:val="tx1"/>
                  </w14:solidFill>
                </w14:textFill>
              </w:rPr>
            </w:pPr>
          </w:p>
        </w:tc>
      </w:tr>
      <w:tr w14:paraId="58E56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vAlign w:val="center"/>
          </w:tcPr>
          <w:p w14:paraId="1DCF43AF">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61128A87">
            <w:pPr>
              <w:snapToGrid w:val="0"/>
              <w:spacing w:line="300" w:lineRule="exac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22000014</w:t>
            </w:r>
          </w:p>
        </w:tc>
        <w:tc>
          <w:tcPr>
            <w:tcW w:w="2409" w:type="dxa"/>
            <w:vAlign w:val="center"/>
          </w:tcPr>
          <w:p w14:paraId="488DC290">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科技伦理专题研究</w:t>
            </w:r>
          </w:p>
        </w:tc>
        <w:tc>
          <w:tcPr>
            <w:tcW w:w="708" w:type="dxa"/>
            <w:vAlign w:val="center"/>
          </w:tcPr>
          <w:p w14:paraId="448774C1">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250740C8">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203EDBF8">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vAlign w:val="center"/>
          </w:tcPr>
          <w:p w14:paraId="77ED6740">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vAlign w:val="center"/>
          </w:tcPr>
          <w:p w14:paraId="6E0B0040">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Merge w:val="continue"/>
            <w:vAlign w:val="center"/>
          </w:tcPr>
          <w:p w14:paraId="75607A0C">
            <w:pPr>
              <w:snapToGrid w:val="0"/>
              <w:jc w:val="center"/>
              <w:rPr>
                <w:rFonts w:eastAsia="仿宋_GB2312"/>
                <w:color w:val="000000" w:themeColor="text1"/>
                <w:sz w:val="24"/>
                <w14:textFill>
                  <w14:solidFill>
                    <w14:schemeClr w14:val="tx1"/>
                  </w14:solidFill>
                </w14:textFill>
              </w:rPr>
            </w:pPr>
          </w:p>
        </w:tc>
      </w:tr>
      <w:tr w14:paraId="172D4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vAlign w:val="center"/>
          </w:tcPr>
          <w:p w14:paraId="33416807">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0FBF9E1A">
            <w:pPr>
              <w:snapToGrid w:val="0"/>
              <w:spacing w:line="300" w:lineRule="exac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22000015</w:t>
            </w:r>
          </w:p>
        </w:tc>
        <w:tc>
          <w:tcPr>
            <w:tcW w:w="2409" w:type="dxa"/>
            <w:vAlign w:val="center"/>
          </w:tcPr>
          <w:p w14:paraId="534CE28F">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哲学与人生</w:t>
            </w:r>
          </w:p>
        </w:tc>
        <w:tc>
          <w:tcPr>
            <w:tcW w:w="708" w:type="dxa"/>
            <w:vAlign w:val="center"/>
          </w:tcPr>
          <w:p w14:paraId="18755F6C">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3DAF2825">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70B0CDCC">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vAlign w:val="center"/>
          </w:tcPr>
          <w:p w14:paraId="7C41EBC5">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vAlign w:val="center"/>
          </w:tcPr>
          <w:p w14:paraId="30236105">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Merge w:val="continue"/>
            <w:vAlign w:val="center"/>
          </w:tcPr>
          <w:p w14:paraId="5237E600">
            <w:pPr>
              <w:snapToGrid w:val="0"/>
              <w:jc w:val="center"/>
              <w:rPr>
                <w:rFonts w:eastAsia="仿宋_GB2312"/>
                <w:color w:val="000000" w:themeColor="text1"/>
                <w:sz w:val="24"/>
                <w14:textFill>
                  <w14:solidFill>
                    <w14:schemeClr w14:val="tx1"/>
                  </w14:solidFill>
                </w14:textFill>
              </w:rPr>
            </w:pPr>
          </w:p>
        </w:tc>
      </w:tr>
      <w:tr w14:paraId="05D25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vAlign w:val="center"/>
          </w:tcPr>
          <w:p w14:paraId="612BFF82">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10277429">
            <w:pPr>
              <w:snapToGrid w:val="0"/>
              <w:spacing w:line="300" w:lineRule="exac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22000016</w:t>
            </w:r>
          </w:p>
        </w:tc>
        <w:tc>
          <w:tcPr>
            <w:tcW w:w="2409" w:type="dxa"/>
            <w:vAlign w:val="center"/>
          </w:tcPr>
          <w:p w14:paraId="5D160947">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区域国别学概论</w:t>
            </w:r>
          </w:p>
        </w:tc>
        <w:tc>
          <w:tcPr>
            <w:tcW w:w="708" w:type="dxa"/>
            <w:vAlign w:val="center"/>
          </w:tcPr>
          <w:p w14:paraId="4D80F6F6">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496D4164">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16C1EAC5">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6CC219C2">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vAlign w:val="center"/>
          </w:tcPr>
          <w:p w14:paraId="091521B0">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Merge w:val="continue"/>
            <w:vAlign w:val="center"/>
          </w:tcPr>
          <w:p w14:paraId="1481BF74">
            <w:pPr>
              <w:snapToGrid w:val="0"/>
              <w:jc w:val="center"/>
              <w:rPr>
                <w:rFonts w:eastAsia="仿宋_GB2312"/>
                <w:color w:val="000000" w:themeColor="text1"/>
                <w:sz w:val="24"/>
                <w14:textFill>
                  <w14:solidFill>
                    <w14:schemeClr w14:val="tx1"/>
                  </w14:solidFill>
                </w14:textFill>
              </w:rPr>
            </w:pPr>
          </w:p>
        </w:tc>
      </w:tr>
      <w:tr w14:paraId="035A9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vAlign w:val="center"/>
          </w:tcPr>
          <w:p w14:paraId="51A12B48">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631BE839">
            <w:pPr>
              <w:snapToGrid w:val="0"/>
              <w:spacing w:line="300" w:lineRule="exac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22000017</w:t>
            </w:r>
          </w:p>
        </w:tc>
        <w:tc>
          <w:tcPr>
            <w:tcW w:w="2409" w:type="dxa"/>
            <w:vAlign w:val="center"/>
          </w:tcPr>
          <w:p w14:paraId="6EFA4CF6">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如何写好科研论文</w:t>
            </w:r>
          </w:p>
        </w:tc>
        <w:tc>
          <w:tcPr>
            <w:tcW w:w="708" w:type="dxa"/>
            <w:vAlign w:val="center"/>
          </w:tcPr>
          <w:p w14:paraId="0F67D37F">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269E7080">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7D43F966">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7B7A0EEC">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考试</w:t>
            </w:r>
          </w:p>
        </w:tc>
        <w:tc>
          <w:tcPr>
            <w:tcW w:w="1135" w:type="dxa"/>
            <w:vAlign w:val="center"/>
          </w:tcPr>
          <w:p w14:paraId="6ECF3DF6">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Merge w:val="restart"/>
            <w:vAlign w:val="center"/>
          </w:tcPr>
          <w:p w14:paraId="617CE3F0">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线上课程选修一门</w:t>
            </w:r>
          </w:p>
        </w:tc>
      </w:tr>
      <w:tr w14:paraId="6FBAB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53" w:hRule="atLeast"/>
          <w:jc w:val="center"/>
        </w:trPr>
        <w:tc>
          <w:tcPr>
            <w:tcW w:w="890" w:type="dxa"/>
            <w:vMerge w:val="continue"/>
            <w:vAlign w:val="center"/>
          </w:tcPr>
          <w:p w14:paraId="2C72F163">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7DCCFAD7">
            <w:pPr>
              <w:snapToGrid w:val="0"/>
              <w:spacing w:line="300" w:lineRule="exac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22000018</w:t>
            </w:r>
          </w:p>
        </w:tc>
        <w:tc>
          <w:tcPr>
            <w:tcW w:w="2409" w:type="dxa"/>
            <w:vAlign w:val="center"/>
          </w:tcPr>
          <w:p w14:paraId="4A6176DF">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研究生的压力应对与健康心理</w:t>
            </w:r>
          </w:p>
        </w:tc>
        <w:tc>
          <w:tcPr>
            <w:tcW w:w="708" w:type="dxa"/>
            <w:vAlign w:val="center"/>
          </w:tcPr>
          <w:p w14:paraId="6934B53D">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6F7AB65D">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5155FEAD">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6986BD56">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考试</w:t>
            </w:r>
          </w:p>
        </w:tc>
        <w:tc>
          <w:tcPr>
            <w:tcW w:w="1135" w:type="dxa"/>
            <w:vAlign w:val="center"/>
          </w:tcPr>
          <w:p w14:paraId="447925BE">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Merge w:val="continue"/>
            <w:vAlign w:val="center"/>
          </w:tcPr>
          <w:p w14:paraId="63E70B94">
            <w:pPr>
              <w:widowControl/>
              <w:jc w:val="center"/>
              <w:rPr>
                <w:rFonts w:eastAsia="仿宋_GB2312"/>
                <w:color w:val="000000" w:themeColor="text1"/>
                <w:sz w:val="24"/>
                <w14:textFill>
                  <w14:solidFill>
                    <w14:schemeClr w14:val="tx1"/>
                  </w14:solidFill>
                </w14:textFill>
              </w:rPr>
            </w:pPr>
          </w:p>
        </w:tc>
      </w:tr>
      <w:tr w14:paraId="1078B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53" w:hRule="atLeast"/>
          <w:jc w:val="center"/>
        </w:trPr>
        <w:tc>
          <w:tcPr>
            <w:tcW w:w="890" w:type="dxa"/>
            <w:vMerge w:val="continue"/>
            <w:vAlign w:val="center"/>
          </w:tcPr>
          <w:p w14:paraId="7DF7D3B1">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345EA207">
            <w:pPr>
              <w:snapToGrid w:val="0"/>
              <w:spacing w:line="300" w:lineRule="exac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22000019</w:t>
            </w:r>
          </w:p>
        </w:tc>
        <w:tc>
          <w:tcPr>
            <w:tcW w:w="2409" w:type="dxa"/>
            <w:vAlign w:val="center"/>
          </w:tcPr>
          <w:p w14:paraId="793D6AE1">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研究生学术与职业素养讲座</w:t>
            </w:r>
          </w:p>
        </w:tc>
        <w:tc>
          <w:tcPr>
            <w:tcW w:w="708" w:type="dxa"/>
            <w:vAlign w:val="center"/>
          </w:tcPr>
          <w:p w14:paraId="110AD5B9">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2C3A7310">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2096CAAF">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4E908BEC">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考试</w:t>
            </w:r>
          </w:p>
        </w:tc>
        <w:tc>
          <w:tcPr>
            <w:tcW w:w="1135" w:type="dxa"/>
            <w:vAlign w:val="center"/>
          </w:tcPr>
          <w:p w14:paraId="093616C6">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Merge w:val="continue"/>
            <w:vAlign w:val="center"/>
          </w:tcPr>
          <w:p w14:paraId="3773F2DC">
            <w:pPr>
              <w:widowControl/>
              <w:jc w:val="center"/>
              <w:rPr>
                <w:rFonts w:eastAsia="仿宋_GB2312"/>
                <w:color w:val="000000" w:themeColor="text1"/>
                <w:sz w:val="24"/>
                <w14:textFill>
                  <w14:solidFill>
                    <w14:schemeClr w14:val="tx1"/>
                  </w14:solidFill>
                </w14:textFill>
              </w:rPr>
            </w:pPr>
          </w:p>
        </w:tc>
      </w:tr>
      <w:tr w14:paraId="7F52C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restart"/>
            <w:vAlign w:val="center"/>
          </w:tcPr>
          <w:p w14:paraId="1BEC1B25">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专业</w:t>
            </w:r>
          </w:p>
          <w:p w14:paraId="3E05C61C">
            <w:pPr>
              <w:snapToGrid w:val="0"/>
              <w:ind w:right="-13" w:rightChars="-6"/>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选修课（≥</w:t>
            </w:r>
            <w:r>
              <w:rPr>
                <w:rFonts w:hint="eastAsia" w:eastAsia="仿宋_GB2312"/>
                <w:color w:val="000000" w:themeColor="text1"/>
                <w:sz w:val="24"/>
                <w14:textFill>
                  <w14:solidFill>
                    <w14:schemeClr w14:val="tx1"/>
                  </w14:solidFill>
                </w14:textFill>
              </w:rPr>
              <w:t>6</w:t>
            </w:r>
            <w:r>
              <w:rPr>
                <w:rFonts w:eastAsia="仿宋_GB2312"/>
                <w:color w:val="000000" w:themeColor="text1"/>
                <w:sz w:val="24"/>
                <w14:textFill>
                  <w14:solidFill>
                    <w14:schemeClr w14:val="tx1"/>
                  </w14:solidFill>
                </w14:textFill>
              </w:rPr>
              <w:t>学分）</w:t>
            </w:r>
          </w:p>
        </w:tc>
        <w:tc>
          <w:tcPr>
            <w:tcW w:w="1096" w:type="dxa"/>
            <w:vAlign w:val="center"/>
          </w:tcPr>
          <w:p w14:paraId="02209466">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25190409</w:t>
            </w:r>
          </w:p>
        </w:tc>
        <w:tc>
          <w:tcPr>
            <w:tcW w:w="2409" w:type="dxa"/>
            <w:vAlign w:val="center"/>
          </w:tcPr>
          <w:p w14:paraId="228AC7F8">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动物疫病防控</w:t>
            </w:r>
          </w:p>
        </w:tc>
        <w:tc>
          <w:tcPr>
            <w:tcW w:w="708" w:type="dxa"/>
            <w:vAlign w:val="center"/>
          </w:tcPr>
          <w:p w14:paraId="60A5EC18">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55AD4702">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3CAEEE34">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5F63E1E8">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vAlign w:val="center"/>
          </w:tcPr>
          <w:p w14:paraId="556962E8">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5AB7A5DB">
            <w:pPr>
              <w:snapToGrid w:val="0"/>
              <w:jc w:val="center"/>
              <w:rPr>
                <w:rFonts w:eastAsia="仿宋_GB2312"/>
                <w:color w:val="000000" w:themeColor="text1"/>
                <w:sz w:val="24"/>
                <w14:textFill>
                  <w14:solidFill>
                    <w14:schemeClr w14:val="tx1"/>
                  </w14:solidFill>
                </w14:textFill>
              </w:rPr>
            </w:pPr>
          </w:p>
        </w:tc>
      </w:tr>
      <w:tr w14:paraId="2E1EC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tcPr>
          <w:p w14:paraId="658CD924">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406E52AB">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25190410</w:t>
            </w:r>
          </w:p>
        </w:tc>
        <w:tc>
          <w:tcPr>
            <w:tcW w:w="2409" w:type="dxa"/>
            <w:vAlign w:val="center"/>
          </w:tcPr>
          <w:p w14:paraId="58A26497">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兽医生物安全</w:t>
            </w:r>
          </w:p>
        </w:tc>
        <w:tc>
          <w:tcPr>
            <w:tcW w:w="708" w:type="dxa"/>
            <w:vAlign w:val="center"/>
          </w:tcPr>
          <w:p w14:paraId="5A1005EC">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04988B98">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47CD97B4">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0A5B8924">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vAlign w:val="center"/>
          </w:tcPr>
          <w:p w14:paraId="7AD27E32">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36490455">
            <w:pPr>
              <w:snapToGrid w:val="0"/>
              <w:jc w:val="center"/>
              <w:rPr>
                <w:rFonts w:eastAsia="仿宋_GB2312"/>
                <w:color w:val="000000" w:themeColor="text1"/>
                <w:sz w:val="24"/>
                <w14:textFill>
                  <w14:solidFill>
                    <w14:schemeClr w14:val="tx1"/>
                  </w14:solidFill>
                </w14:textFill>
              </w:rPr>
            </w:pPr>
          </w:p>
        </w:tc>
      </w:tr>
      <w:tr w14:paraId="1FD54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53" w:hRule="atLeast"/>
          <w:jc w:val="center"/>
        </w:trPr>
        <w:tc>
          <w:tcPr>
            <w:tcW w:w="890" w:type="dxa"/>
            <w:vMerge w:val="continue"/>
          </w:tcPr>
          <w:p w14:paraId="17A7F315">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3B09A64A">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25190411</w:t>
            </w:r>
          </w:p>
        </w:tc>
        <w:tc>
          <w:tcPr>
            <w:tcW w:w="2409" w:type="dxa"/>
            <w:vAlign w:val="center"/>
          </w:tcPr>
          <w:p w14:paraId="5C6119E4">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宠物疾病诊疗</w:t>
            </w:r>
          </w:p>
        </w:tc>
        <w:tc>
          <w:tcPr>
            <w:tcW w:w="708" w:type="dxa"/>
            <w:vAlign w:val="center"/>
          </w:tcPr>
          <w:p w14:paraId="58EA8B6F">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248E331C">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6942A913">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vAlign w:val="center"/>
          </w:tcPr>
          <w:p w14:paraId="1896E302">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vAlign w:val="center"/>
          </w:tcPr>
          <w:p w14:paraId="5E77C59F">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方向1必选</w:t>
            </w:r>
          </w:p>
        </w:tc>
        <w:tc>
          <w:tcPr>
            <w:tcW w:w="850" w:type="dxa"/>
            <w:vAlign w:val="center"/>
          </w:tcPr>
          <w:p w14:paraId="3B81BEF9">
            <w:pPr>
              <w:snapToGrid w:val="0"/>
              <w:jc w:val="center"/>
              <w:rPr>
                <w:rFonts w:eastAsia="仿宋_GB2312"/>
                <w:color w:val="000000" w:themeColor="text1"/>
                <w:sz w:val="24"/>
                <w14:textFill>
                  <w14:solidFill>
                    <w14:schemeClr w14:val="tx1"/>
                  </w14:solidFill>
                </w14:textFill>
              </w:rPr>
            </w:pPr>
          </w:p>
        </w:tc>
      </w:tr>
      <w:tr w14:paraId="68499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tcPr>
          <w:p w14:paraId="7E229F42">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0656E7DE">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25190412</w:t>
            </w:r>
          </w:p>
        </w:tc>
        <w:tc>
          <w:tcPr>
            <w:tcW w:w="2409" w:type="dxa"/>
            <w:vAlign w:val="center"/>
          </w:tcPr>
          <w:p w14:paraId="363BB0C5">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企业管理与创业专题</w:t>
            </w:r>
          </w:p>
        </w:tc>
        <w:tc>
          <w:tcPr>
            <w:tcW w:w="708" w:type="dxa"/>
            <w:vAlign w:val="center"/>
          </w:tcPr>
          <w:p w14:paraId="1AF42F32">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1337F61A">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43F42C76">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3F51E857">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vAlign w:val="center"/>
          </w:tcPr>
          <w:p w14:paraId="22DB6F6C">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Align w:val="center"/>
          </w:tcPr>
          <w:p w14:paraId="65DA7E87">
            <w:pPr>
              <w:snapToGrid w:val="0"/>
              <w:jc w:val="center"/>
              <w:rPr>
                <w:rFonts w:eastAsia="仿宋_GB2312"/>
                <w:color w:val="000000" w:themeColor="text1"/>
                <w:sz w:val="24"/>
                <w14:textFill>
                  <w14:solidFill>
                    <w14:schemeClr w14:val="tx1"/>
                  </w14:solidFill>
                </w14:textFill>
              </w:rPr>
            </w:pPr>
          </w:p>
        </w:tc>
      </w:tr>
      <w:tr w14:paraId="768A4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53" w:hRule="atLeast"/>
          <w:jc w:val="center"/>
        </w:trPr>
        <w:tc>
          <w:tcPr>
            <w:tcW w:w="890" w:type="dxa"/>
            <w:vMerge w:val="continue"/>
          </w:tcPr>
          <w:p w14:paraId="6E58A655">
            <w:pPr>
              <w:snapToGrid w:val="0"/>
              <w:ind w:right="-13" w:rightChars="-6"/>
              <w:jc w:val="center"/>
              <w:rPr>
                <w:rFonts w:eastAsia="仿宋_GB2312"/>
                <w:color w:val="000000" w:themeColor="text1"/>
                <w:sz w:val="24"/>
                <w14:textFill>
                  <w14:solidFill>
                    <w14:schemeClr w14:val="tx1"/>
                  </w14:solidFill>
                </w14:textFill>
              </w:rPr>
            </w:pPr>
          </w:p>
        </w:tc>
        <w:tc>
          <w:tcPr>
            <w:tcW w:w="1096" w:type="dxa"/>
            <w:vAlign w:val="center"/>
          </w:tcPr>
          <w:p w14:paraId="7BF47D80">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25190413</w:t>
            </w:r>
          </w:p>
        </w:tc>
        <w:tc>
          <w:tcPr>
            <w:tcW w:w="2409" w:type="dxa"/>
            <w:vAlign w:val="center"/>
          </w:tcPr>
          <w:p w14:paraId="759AABC6">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新型兽药创制专题</w:t>
            </w:r>
          </w:p>
        </w:tc>
        <w:tc>
          <w:tcPr>
            <w:tcW w:w="708" w:type="dxa"/>
            <w:vAlign w:val="center"/>
          </w:tcPr>
          <w:p w14:paraId="2DBACEF4">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vAlign w:val="center"/>
          </w:tcPr>
          <w:p w14:paraId="1A8B14CE">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vAlign w:val="center"/>
          </w:tcPr>
          <w:p w14:paraId="4DE0DFB9">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vAlign w:val="center"/>
          </w:tcPr>
          <w:p w14:paraId="1C8D6231">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tcBorders>
              <w:bottom w:val="single" w:color="auto" w:sz="4" w:space="0"/>
            </w:tcBorders>
            <w:vAlign w:val="center"/>
          </w:tcPr>
          <w:p w14:paraId="4B2CBDAD">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方向4必选</w:t>
            </w:r>
          </w:p>
        </w:tc>
        <w:tc>
          <w:tcPr>
            <w:tcW w:w="850" w:type="dxa"/>
            <w:tcBorders>
              <w:bottom w:val="single" w:color="auto" w:sz="4" w:space="0"/>
            </w:tcBorders>
            <w:vAlign w:val="center"/>
          </w:tcPr>
          <w:p w14:paraId="7CC02754">
            <w:pPr>
              <w:snapToGrid w:val="0"/>
              <w:jc w:val="center"/>
              <w:rPr>
                <w:rFonts w:eastAsia="仿宋_GB2312"/>
                <w:color w:val="000000" w:themeColor="text1"/>
                <w:sz w:val="24"/>
                <w14:textFill>
                  <w14:solidFill>
                    <w14:schemeClr w14:val="tx1"/>
                  </w14:solidFill>
                </w14:textFill>
              </w:rPr>
            </w:pPr>
          </w:p>
        </w:tc>
      </w:tr>
      <w:tr w14:paraId="4956D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tcBorders>
              <w:bottom w:val="single" w:color="000000" w:sz="4" w:space="0"/>
            </w:tcBorders>
          </w:tcPr>
          <w:p w14:paraId="7B707543">
            <w:pPr>
              <w:snapToGrid w:val="0"/>
              <w:ind w:right="-13" w:rightChars="-6"/>
              <w:jc w:val="center"/>
              <w:rPr>
                <w:rFonts w:eastAsia="仿宋_GB2312"/>
                <w:color w:val="000000" w:themeColor="text1"/>
                <w:sz w:val="24"/>
                <w14:textFill>
                  <w14:solidFill>
                    <w14:schemeClr w14:val="tx1"/>
                  </w14:solidFill>
                </w14:textFill>
              </w:rPr>
            </w:pPr>
          </w:p>
        </w:tc>
        <w:tc>
          <w:tcPr>
            <w:tcW w:w="1096" w:type="dxa"/>
            <w:tcBorders>
              <w:bottom w:val="single" w:color="000000" w:sz="4" w:space="0"/>
              <w:right w:val="single" w:color="auto" w:sz="4" w:space="0"/>
            </w:tcBorders>
            <w:vAlign w:val="center"/>
          </w:tcPr>
          <w:p w14:paraId="3A092E9B">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25190414</w:t>
            </w:r>
          </w:p>
        </w:tc>
        <w:tc>
          <w:tcPr>
            <w:tcW w:w="2409" w:type="dxa"/>
            <w:tcBorders>
              <w:left w:val="single" w:color="auto" w:sz="4" w:space="0"/>
              <w:bottom w:val="single" w:color="000000" w:sz="4" w:space="0"/>
              <w:right w:val="single" w:color="auto" w:sz="4" w:space="0"/>
            </w:tcBorders>
            <w:vAlign w:val="center"/>
          </w:tcPr>
          <w:p w14:paraId="12B7298A">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兽医检测技术与应用</w:t>
            </w:r>
          </w:p>
        </w:tc>
        <w:tc>
          <w:tcPr>
            <w:tcW w:w="708" w:type="dxa"/>
            <w:tcBorders>
              <w:left w:val="single" w:color="auto" w:sz="4" w:space="0"/>
              <w:bottom w:val="single" w:color="000000" w:sz="4" w:space="0"/>
            </w:tcBorders>
            <w:vAlign w:val="center"/>
          </w:tcPr>
          <w:p w14:paraId="05E6CC5B">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tcBorders>
              <w:bottom w:val="single" w:color="000000" w:sz="4" w:space="0"/>
              <w:right w:val="single" w:color="auto" w:sz="4" w:space="0"/>
            </w:tcBorders>
            <w:vAlign w:val="center"/>
          </w:tcPr>
          <w:p w14:paraId="305BEC6F">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32</w:t>
            </w:r>
          </w:p>
        </w:tc>
        <w:tc>
          <w:tcPr>
            <w:tcW w:w="709" w:type="dxa"/>
            <w:tcBorders>
              <w:left w:val="single" w:color="auto" w:sz="4" w:space="0"/>
              <w:bottom w:val="single" w:color="000000" w:sz="4" w:space="0"/>
              <w:right w:val="single" w:color="auto" w:sz="4" w:space="0"/>
            </w:tcBorders>
            <w:vAlign w:val="center"/>
          </w:tcPr>
          <w:p w14:paraId="16D6AB19">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tcBorders>
              <w:left w:val="single" w:color="auto" w:sz="4" w:space="0"/>
              <w:bottom w:val="single" w:color="000000" w:sz="4" w:space="0"/>
              <w:right w:val="single" w:color="auto" w:sz="4" w:space="0"/>
            </w:tcBorders>
            <w:vAlign w:val="center"/>
          </w:tcPr>
          <w:p w14:paraId="7A51174E">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tcBorders>
              <w:top w:val="single" w:color="auto" w:sz="4" w:space="0"/>
              <w:left w:val="single" w:color="auto" w:sz="4" w:space="0"/>
              <w:bottom w:val="single" w:color="000000" w:sz="4" w:space="0"/>
              <w:right w:val="single" w:color="auto" w:sz="4" w:space="0"/>
            </w:tcBorders>
            <w:vAlign w:val="center"/>
          </w:tcPr>
          <w:p w14:paraId="00233352">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tcBorders>
              <w:top w:val="single" w:color="auto" w:sz="4" w:space="0"/>
              <w:left w:val="single" w:color="auto" w:sz="4" w:space="0"/>
              <w:bottom w:val="single" w:color="000000" w:sz="4" w:space="0"/>
            </w:tcBorders>
            <w:vAlign w:val="center"/>
          </w:tcPr>
          <w:p w14:paraId="0FAE2167">
            <w:pPr>
              <w:snapToGrid w:val="0"/>
              <w:jc w:val="center"/>
              <w:rPr>
                <w:rFonts w:eastAsia="仿宋_GB2312"/>
                <w:color w:val="000000" w:themeColor="text1"/>
                <w:sz w:val="24"/>
                <w14:textFill>
                  <w14:solidFill>
                    <w14:schemeClr w14:val="tx1"/>
                  </w14:solidFill>
                </w14:textFill>
              </w:rPr>
            </w:pPr>
          </w:p>
        </w:tc>
      </w:tr>
      <w:tr w14:paraId="68584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restart"/>
            <w:vAlign w:val="center"/>
          </w:tcPr>
          <w:p w14:paraId="442B7F1D">
            <w:pPr>
              <w:snapToGrid w:val="0"/>
              <w:ind w:right="-13" w:rightChars="-6"/>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补修课</w:t>
            </w:r>
          </w:p>
        </w:tc>
        <w:tc>
          <w:tcPr>
            <w:tcW w:w="1096" w:type="dxa"/>
            <w:tcBorders>
              <w:bottom w:val="single" w:color="000000" w:sz="4" w:space="0"/>
              <w:right w:val="single" w:color="auto" w:sz="4" w:space="0"/>
            </w:tcBorders>
            <w:vAlign w:val="center"/>
          </w:tcPr>
          <w:p w14:paraId="53B861F6">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2519041</w:t>
            </w:r>
            <w:r>
              <w:rPr>
                <w:rFonts w:eastAsia="仿宋_GB2312"/>
                <w:color w:val="000000" w:themeColor="text1"/>
                <w:sz w:val="24"/>
                <w14:textFill>
                  <w14:solidFill>
                    <w14:schemeClr w14:val="tx1"/>
                  </w14:solidFill>
                </w14:textFill>
              </w:rPr>
              <w:t>5</w:t>
            </w:r>
          </w:p>
        </w:tc>
        <w:tc>
          <w:tcPr>
            <w:tcW w:w="2409" w:type="dxa"/>
            <w:tcBorders>
              <w:left w:val="single" w:color="auto" w:sz="4" w:space="0"/>
              <w:bottom w:val="single" w:color="000000" w:sz="4" w:space="0"/>
              <w:right w:val="single" w:color="auto" w:sz="4" w:space="0"/>
            </w:tcBorders>
            <w:vAlign w:val="center"/>
          </w:tcPr>
          <w:p w14:paraId="6392FFD1">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动物解剖学</w:t>
            </w:r>
          </w:p>
        </w:tc>
        <w:tc>
          <w:tcPr>
            <w:tcW w:w="708" w:type="dxa"/>
            <w:tcBorders>
              <w:left w:val="single" w:color="auto" w:sz="4" w:space="0"/>
              <w:bottom w:val="single" w:color="000000" w:sz="4" w:space="0"/>
            </w:tcBorders>
            <w:vAlign w:val="center"/>
          </w:tcPr>
          <w:p w14:paraId="196CF2E2">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0</w:t>
            </w:r>
          </w:p>
        </w:tc>
        <w:tc>
          <w:tcPr>
            <w:tcW w:w="709" w:type="dxa"/>
            <w:tcBorders>
              <w:bottom w:val="single" w:color="000000" w:sz="4" w:space="0"/>
              <w:right w:val="single" w:color="auto" w:sz="4" w:space="0"/>
            </w:tcBorders>
            <w:vAlign w:val="center"/>
          </w:tcPr>
          <w:p w14:paraId="03AE888B">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w:t>
            </w:r>
          </w:p>
        </w:tc>
        <w:tc>
          <w:tcPr>
            <w:tcW w:w="709" w:type="dxa"/>
            <w:tcBorders>
              <w:left w:val="single" w:color="auto" w:sz="4" w:space="0"/>
              <w:bottom w:val="single" w:color="000000" w:sz="4" w:space="0"/>
              <w:right w:val="single" w:color="auto" w:sz="4" w:space="0"/>
            </w:tcBorders>
            <w:vAlign w:val="center"/>
          </w:tcPr>
          <w:p w14:paraId="59B8F810">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tcBorders>
              <w:left w:val="single" w:color="auto" w:sz="4" w:space="0"/>
              <w:bottom w:val="single" w:color="000000" w:sz="4" w:space="0"/>
              <w:right w:val="single" w:color="auto" w:sz="4" w:space="0"/>
            </w:tcBorders>
            <w:vAlign w:val="center"/>
          </w:tcPr>
          <w:p w14:paraId="2811672A">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考试</w:t>
            </w:r>
          </w:p>
        </w:tc>
        <w:tc>
          <w:tcPr>
            <w:tcW w:w="1135" w:type="dxa"/>
            <w:tcBorders>
              <w:top w:val="single" w:color="auto" w:sz="4" w:space="0"/>
              <w:left w:val="single" w:color="auto" w:sz="4" w:space="0"/>
              <w:bottom w:val="single" w:color="000000" w:sz="4" w:space="0"/>
              <w:right w:val="single" w:color="auto" w:sz="4" w:space="0"/>
            </w:tcBorders>
            <w:vAlign w:val="center"/>
          </w:tcPr>
          <w:p w14:paraId="3EAF7892">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Merge w:val="restart"/>
            <w:tcBorders>
              <w:top w:val="single" w:color="auto" w:sz="4" w:space="0"/>
              <w:left w:val="single" w:color="auto" w:sz="4" w:space="0"/>
            </w:tcBorders>
            <w:vAlign w:val="center"/>
          </w:tcPr>
          <w:p w14:paraId="6CB1495C">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跨专业和同等学力补修</w:t>
            </w:r>
          </w:p>
        </w:tc>
      </w:tr>
      <w:tr w14:paraId="24E9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tcPr>
          <w:p w14:paraId="1D2F347F">
            <w:pPr>
              <w:snapToGrid w:val="0"/>
              <w:ind w:right="-13" w:rightChars="-6"/>
              <w:jc w:val="center"/>
              <w:rPr>
                <w:rFonts w:eastAsia="仿宋_GB2312"/>
                <w:color w:val="000000" w:themeColor="text1"/>
                <w:sz w:val="24"/>
                <w14:textFill>
                  <w14:solidFill>
                    <w14:schemeClr w14:val="tx1"/>
                  </w14:solidFill>
                </w14:textFill>
              </w:rPr>
            </w:pPr>
          </w:p>
        </w:tc>
        <w:tc>
          <w:tcPr>
            <w:tcW w:w="1096" w:type="dxa"/>
            <w:tcBorders>
              <w:bottom w:val="single" w:color="000000" w:sz="4" w:space="0"/>
              <w:right w:val="single" w:color="auto" w:sz="4" w:space="0"/>
            </w:tcBorders>
            <w:vAlign w:val="center"/>
          </w:tcPr>
          <w:p w14:paraId="36FDB81D">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2519041</w:t>
            </w:r>
            <w:r>
              <w:rPr>
                <w:rFonts w:eastAsia="仿宋_GB2312"/>
                <w:color w:val="000000" w:themeColor="text1"/>
                <w:sz w:val="24"/>
                <w14:textFill>
                  <w14:solidFill>
                    <w14:schemeClr w14:val="tx1"/>
                  </w14:solidFill>
                </w14:textFill>
              </w:rPr>
              <w:t>6</w:t>
            </w:r>
          </w:p>
        </w:tc>
        <w:tc>
          <w:tcPr>
            <w:tcW w:w="2409" w:type="dxa"/>
            <w:tcBorders>
              <w:left w:val="single" w:color="auto" w:sz="4" w:space="0"/>
              <w:bottom w:val="single" w:color="000000" w:sz="4" w:space="0"/>
              <w:right w:val="single" w:color="auto" w:sz="4" w:space="0"/>
            </w:tcBorders>
            <w:vAlign w:val="center"/>
          </w:tcPr>
          <w:p w14:paraId="3E8D116B">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动物生物化学</w:t>
            </w:r>
          </w:p>
        </w:tc>
        <w:tc>
          <w:tcPr>
            <w:tcW w:w="708" w:type="dxa"/>
            <w:tcBorders>
              <w:left w:val="single" w:color="auto" w:sz="4" w:space="0"/>
              <w:bottom w:val="single" w:color="000000" w:sz="4" w:space="0"/>
            </w:tcBorders>
            <w:vAlign w:val="center"/>
          </w:tcPr>
          <w:p w14:paraId="44E20A64">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0</w:t>
            </w:r>
          </w:p>
        </w:tc>
        <w:tc>
          <w:tcPr>
            <w:tcW w:w="709" w:type="dxa"/>
            <w:tcBorders>
              <w:bottom w:val="single" w:color="000000" w:sz="4" w:space="0"/>
              <w:right w:val="single" w:color="auto" w:sz="4" w:space="0"/>
            </w:tcBorders>
            <w:vAlign w:val="center"/>
          </w:tcPr>
          <w:p w14:paraId="2EB573F9">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w:t>
            </w:r>
          </w:p>
        </w:tc>
        <w:tc>
          <w:tcPr>
            <w:tcW w:w="709" w:type="dxa"/>
            <w:tcBorders>
              <w:left w:val="single" w:color="auto" w:sz="4" w:space="0"/>
              <w:bottom w:val="single" w:color="000000" w:sz="4" w:space="0"/>
              <w:right w:val="single" w:color="auto" w:sz="4" w:space="0"/>
            </w:tcBorders>
            <w:vAlign w:val="center"/>
          </w:tcPr>
          <w:p w14:paraId="022EE28A">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tcBorders>
              <w:left w:val="single" w:color="auto" w:sz="4" w:space="0"/>
              <w:bottom w:val="single" w:color="000000" w:sz="4" w:space="0"/>
              <w:right w:val="single" w:color="auto" w:sz="4" w:space="0"/>
            </w:tcBorders>
            <w:vAlign w:val="center"/>
          </w:tcPr>
          <w:p w14:paraId="5BB57BC2">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考试</w:t>
            </w:r>
          </w:p>
        </w:tc>
        <w:tc>
          <w:tcPr>
            <w:tcW w:w="1135" w:type="dxa"/>
            <w:tcBorders>
              <w:top w:val="single" w:color="auto" w:sz="4" w:space="0"/>
              <w:left w:val="single" w:color="auto" w:sz="4" w:space="0"/>
              <w:bottom w:val="single" w:color="000000" w:sz="4" w:space="0"/>
              <w:right w:val="single" w:color="auto" w:sz="4" w:space="0"/>
            </w:tcBorders>
            <w:vAlign w:val="center"/>
          </w:tcPr>
          <w:p w14:paraId="5C59A116">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Merge w:val="continue"/>
            <w:tcBorders>
              <w:left w:val="single" w:color="auto" w:sz="4" w:space="0"/>
            </w:tcBorders>
            <w:vAlign w:val="center"/>
          </w:tcPr>
          <w:p w14:paraId="7585B124">
            <w:pPr>
              <w:snapToGrid w:val="0"/>
              <w:jc w:val="center"/>
              <w:rPr>
                <w:rFonts w:eastAsia="仿宋_GB2312"/>
                <w:color w:val="000000" w:themeColor="text1"/>
                <w:sz w:val="24"/>
                <w14:textFill>
                  <w14:solidFill>
                    <w14:schemeClr w14:val="tx1"/>
                  </w14:solidFill>
                </w14:textFill>
              </w:rPr>
            </w:pPr>
          </w:p>
        </w:tc>
      </w:tr>
      <w:tr w14:paraId="20C59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tcBorders>
              <w:bottom w:val="single" w:color="000000" w:sz="4" w:space="0"/>
            </w:tcBorders>
          </w:tcPr>
          <w:p w14:paraId="316CA84E">
            <w:pPr>
              <w:snapToGrid w:val="0"/>
              <w:ind w:right="-13" w:rightChars="-6"/>
              <w:jc w:val="center"/>
              <w:rPr>
                <w:rFonts w:eastAsia="仿宋_GB2312"/>
                <w:color w:val="000000" w:themeColor="text1"/>
                <w:sz w:val="24"/>
                <w14:textFill>
                  <w14:solidFill>
                    <w14:schemeClr w14:val="tx1"/>
                  </w14:solidFill>
                </w14:textFill>
              </w:rPr>
            </w:pPr>
          </w:p>
        </w:tc>
        <w:tc>
          <w:tcPr>
            <w:tcW w:w="1096" w:type="dxa"/>
            <w:tcBorders>
              <w:bottom w:val="single" w:color="000000" w:sz="4" w:space="0"/>
              <w:right w:val="single" w:color="auto" w:sz="4" w:space="0"/>
            </w:tcBorders>
            <w:vAlign w:val="center"/>
          </w:tcPr>
          <w:p w14:paraId="3081885C">
            <w:pPr>
              <w:snapToGrid w:val="0"/>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2519041</w:t>
            </w:r>
            <w:r>
              <w:rPr>
                <w:rFonts w:eastAsia="仿宋_GB2312"/>
                <w:color w:val="000000" w:themeColor="text1"/>
                <w:sz w:val="24"/>
                <w14:textFill>
                  <w14:solidFill>
                    <w14:schemeClr w14:val="tx1"/>
                  </w14:solidFill>
                </w14:textFill>
              </w:rPr>
              <w:t>7</w:t>
            </w:r>
          </w:p>
        </w:tc>
        <w:tc>
          <w:tcPr>
            <w:tcW w:w="2409" w:type="dxa"/>
            <w:tcBorders>
              <w:left w:val="single" w:color="auto" w:sz="4" w:space="0"/>
              <w:bottom w:val="single" w:color="000000" w:sz="4" w:space="0"/>
              <w:right w:val="single" w:color="auto" w:sz="4" w:space="0"/>
            </w:tcBorders>
            <w:vAlign w:val="center"/>
          </w:tcPr>
          <w:p w14:paraId="74590AF5">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兽医微生物学</w:t>
            </w:r>
          </w:p>
        </w:tc>
        <w:tc>
          <w:tcPr>
            <w:tcW w:w="708" w:type="dxa"/>
            <w:tcBorders>
              <w:left w:val="single" w:color="auto" w:sz="4" w:space="0"/>
              <w:bottom w:val="single" w:color="000000" w:sz="4" w:space="0"/>
            </w:tcBorders>
            <w:vAlign w:val="center"/>
          </w:tcPr>
          <w:p w14:paraId="17065B88">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0</w:t>
            </w:r>
          </w:p>
        </w:tc>
        <w:tc>
          <w:tcPr>
            <w:tcW w:w="709" w:type="dxa"/>
            <w:tcBorders>
              <w:bottom w:val="single" w:color="000000" w:sz="4" w:space="0"/>
              <w:right w:val="single" w:color="auto" w:sz="4" w:space="0"/>
            </w:tcBorders>
            <w:vAlign w:val="center"/>
          </w:tcPr>
          <w:p w14:paraId="69F23410">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w:t>
            </w:r>
          </w:p>
        </w:tc>
        <w:tc>
          <w:tcPr>
            <w:tcW w:w="709" w:type="dxa"/>
            <w:tcBorders>
              <w:left w:val="single" w:color="auto" w:sz="4" w:space="0"/>
              <w:bottom w:val="single" w:color="000000" w:sz="4" w:space="0"/>
              <w:right w:val="single" w:color="auto" w:sz="4" w:space="0"/>
            </w:tcBorders>
            <w:vAlign w:val="center"/>
          </w:tcPr>
          <w:p w14:paraId="0BC44AD8">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p>
        </w:tc>
        <w:tc>
          <w:tcPr>
            <w:tcW w:w="709" w:type="dxa"/>
            <w:tcBorders>
              <w:left w:val="single" w:color="auto" w:sz="4" w:space="0"/>
              <w:bottom w:val="single" w:color="000000" w:sz="4" w:space="0"/>
              <w:right w:val="single" w:color="auto" w:sz="4" w:space="0"/>
            </w:tcBorders>
            <w:vAlign w:val="center"/>
          </w:tcPr>
          <w:p w14:paraId="0477EBB5">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考试</w:t>
            </w:r>
          </w:p>
        </w:tc>
        <w:tc>
          <w:tcPr>
            <w:tcW w:w="1135" w:type="dxa"/>
            <w:tcBorders>
              <w:top w:val="single" w:color="auto" w:sz="4" w:space="0"/>
              <w:left w:val="single" w:color="auto" w:sz="4" w:space="0"/>
              <w:bottom w:val="single" w:color="000000" w:sz="4" w:space="0"/>
              <w:right w:val="single" w:color="auto" w:sz="4" w:space="0"/>
            </w:tcBorders>
            <w:vAlign w:val="center"/>
          </w:tcPr>
          <w:p w14:paraId="079A2AD1">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vMerge w:val="continue"/>
            <w:tcBorders>
              <w:left w:val="single" w:color="auto" w:sz="4" w:space="0"/>
              <w:bottom w:val="single" w:color="000000" w:sz="4" w:space="0"/>
            </w:tcBorders>
            <w:vAlign w:val="center"/>
          </w:tcPr>
          <w:p w14:paraId="40693FE9">
            <w:pPr>
              <w:snapToGrid w:val="0"/>
              <w:jc w:val="center"/>
              <w:rPr>
                <w:rFonts w:eastAsia="仿宋_GB2312"/>
                <w:color w:val="000000" w:themeColor="text1"/>
                <w:sz w:val="24"/>
                <w14:textFill>
                  <w14:solidFill>
                    <w14:schemeClr w14:val="tx1"/>
                  </w14:solidFill>
                </w14:textFill>
              </w:rPr>
            </w:pPr>
          </w:p>
        </w:tc>
      </w:tr>
      <w:tr w14:paraId="42828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restart"/>
            <w:tcBorders>
              <w:top w:val="single" w:color="000000" w:sz="4" w:space="0"/>
              <w:bottom w:val="single" w:color="000000" w:sz="4" w:space="0"/>
              <w:right w:val="single" w:color="000000" w:sz="4" w:space="0"/>
            </w:tcBorders>
            <w:vAlign w:val="center"/>
          </w:tcPr>
          <w:p w14:paraId="75C8B012">
            <w:pPr>
              <w:snapToGrid w:val="0"/>
              <w:ind w:right="-13" w:rightChars="-6"/>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培养</w:t>
            </w:r>
          </w:p>
          <w:p w14:paraId="72C78CEE">
            <w:pPr>
              <w:snapToGrid w:val="0"/>
              <w:ind w:right="-13" w:rightChars="-6"/>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环节</w:t>
            </w:r>
          </w:p>
          <w:p w14:paraId="3A6F393F">
            <w:pPr>
              <w:snapToGrid w:val="0"/>
              <w:ind w:right="-13" w:rightChars="-6"/>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w:t>
            </w:r>
            <w:r>
              <w:rPr>
                <w:rFonts w:hint="eastAsia" w:eastAsia="仿宋_GB2312"/>
                <w:color w:val="000000" w:themeColor="text1"/>
                <w:sz w:val="24"/>
                <w14:textFill>
                  <w14:solidFill>
                    <w14:schemeClr w14:val="tx1"/>
                  </w14:solidFill>
                </w14:textFill>
              </w:rPr>
              <w:t>7</w:t>
            </w:r>
            <w:r>
              <w:rPr>
                <w:rFonts w:eastAsia="仿宋_GB2312"/>
                <w:color w:val="000000" w:themeColor="text1"/>
                <w:sz w:val="24"/>
                <w14:textFill>
                  <w14:solidFill>
                    <w14:schemeClr w14:val="tx1"/>
                  </w14:solidFill>
                </w14:textFill>
              </w:rPr>
              <w:t>学分）</w:t>
            </w:r>
          </w:p>
        </w:tc>
        <w:tc>
          <w:tcPr>
            <w:tcW w:w="3505" w:type="dxa"/>
            <w:gridSpan w:val="2"/>
            <w:tcBorders>
              <w:top w:val="single" w:color="000000" w:sz="4" w:space="0"/>
              <w:left w:val="single" w:color="000000" w:sz="4" w:space="0"/>
              <w:bottom w:val="single" w:color="000000" w:sz="4" w:space="0"/>
              <w:right w:val="single" w:color="000000" w:sz="4" w:space="0"/>
            </w:tcBorders>
            <w:vAlign w:val="center"/>
          </w:tcPr>
          <w:p w14:paraId="5BD09241">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前沿讲座</w:t>
            </w:r>
          </w:p>
        </w:tc>
        <w:tc>
          <w:tcPr>
            <w:tcW w:w="708" w:type="dxa"/>
            <w:tcBorders>
              <w:top w:val="single" w:color="000000" w:sz="4" w:space="0"/>
              <w:left w:val="single" w:color="000000" w:sz="4" w:space="0"/>
              <w:bottom w:val="single" w:color="000000" w:sz="4" w:space="0"/>
              <w:right w:val="single" w:color="000000" w:sz="4" w:space="0"/>
            </w:tcBorders>
            <w:vAlign w:val="center"/>
          </w:tcPr>
          <w:p w14:paraId="0EB25748">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60CCF1D5">
            <w:pPr>
              <w:widowControl/>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357EE05B">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1-5</w:t>
            </w:r>
          </w:p>
        </w:tc>
        <w:tc>
          <w:tcPr>
            <w:tcW w:w="709" w:type="dxa"/>
            <w:tcBorders>
              <w:top w:val="single" w:color="000000" w:sz="4" w:space="0"/>
              <w:left w:val="single" w:color="000000" w:sz="4" w:space="0"/>
              <w:bottom w:val="single" w:color="000000" w:sz="4" w:space="0"/>
              <w:right w:val="single" w:color="000000" w:sz="4" w:space="0"/>
            </w:tcBorders>
            <w:vAlign w:val="center"/>
          </w:tcPr>
          <w:p w14:paraId="0502D908">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tcBorders>
              <w:top w:val="single" w:color="000000" w:sz="4" w:space="0"/>
              <w:left w:val="single" w:color="000000" w:sz="4" w:space="0"/>
              <w:bottom w:val="single" w:color="000000" w:sz="4" w:space="0"/>
              <w:right w:val="single" w:color="000000" w:sz="4" w:space="0"/>
            </w:tcBorders>
            <w:vAlign w:val="center"/>
          </w:tcPr>
          <w:p w14:paraId="08B4ED18">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tcBorders>
              <w:top w:val="single" w:color="000000" w:sz="4" w:space="0"/>
              <w:left w:val="single" w:color="000000" w:sz="4" w:space="0"/>
              <w:bottom w:val="single" w:color="000000" w:sz="4" w:space="0"/>
            </w:tcBorders>
            <w:vAlign w:val="center"/>
          </w:tcPr>
          <w:p w14:paraId="7EC9FC26">
            <w:pPr>
              <w:widowControl/>
              <w:jc w:val="left"/>
              <w:rPr>
                <w:rFonts w:eastAsia="仿宋_GB2312"/>
                <w:color w:val="000000" w:themeColor="text1"/>
                <w:sz w:val="24"/>
                <w14:textFill>
                  <w14:solidFill>
                    <w14:schemeClr w14:val="tx1"/>
                  </w14:solidFill>
                </w14:textFill>
              </w:rPr>
            </w:pPr>
          </w:p>
        </w:tc>
      </w:tr>
      <w:tr w14:paraId="19792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tcBorders>
              <w:top w:val="single" w:color="000000" w:sz="4" w:space="0"/>
              <w:bottom w:val="single" w:color="000000" w:sz="4" w:space="0"/>
              <w:right w:val="single" w:color="000000" w:sz="4" w:space="0"/>
            </w:tcBorders>
          </w:tcPr>
          <w:p w14:paraId="1A46375F">
            <w:pPr>
              <w:snapToGrid w:val="0"/>
              <w:ind w:right="-13" w:rightChars="-6"/>
              <w:jc w:val="center"/>
              <w:rPr>
                <w:rFonts w:eastAsia="仿宋_GB2312"/>
                <w:color w:val="000000" w:themeColor="text1"/>
                <w:sz w:val="24"/>
                <w14:textFill>
                  <w14:solidFill>
                    <w14:schemeClr w14:val="tx1"/>
                  </w14:solidFill>
                </w14:textFill>
              </w:rPr>
            </w:pPr>
          </w:p>
        </w:tc>
        <w:tc>
          <w:tcPr>
            <w:tcW w:w="3505" w:type="dxa"/>
            <w:gridSpan w:val="2"/>
            <w:tcBorders>
              <w:top w:val="single" w:color="000000" w:sz="4" w:space="0"/>
              <w:left w:val="single" w:color="000000" w:sz="4" w:space="0"/>
              <w:right w:val="single" w:color="000000" w:sz="4" w:space="0"/>
            </w:tcBorders>
            <w:vAlign w:val="center"/>
          </w:tcPr>
          <w:p w14:paraId="12C6FCD3">
            <w:pPr>
              <w:widowControl/>
              <w:jc w:val="left"/>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专业实践</w:t>
            </w:r>
          </w:p>
        </w:tc>
        <w:tc>
          <w:tcPr>
            <w:tcW w:w="708" w:type="dxa"/>
            <w:tcBorders>
              <w:top w:val="single" w:color="000000" w:sz="4" w:space="0"/>
              <w:left w:val="single" w:color="000000" w:sz="4" w:space="0"/>
              <w:right w:val="single" w:color="000000" w:sz="4" w:space="0"/>
            </w:tcBorders>
            <w:vAlign w:val="center"/>
          </w:tcPr>
          <w:p w14:paraId="76DDDECD">
            <w:pPr>
              <w:widowControl/>
              <w:jc w:val="center"/>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4</w:t>
            </w:r>
          </w:p>
        </w:tc>
        <w:tc>
          <w:tcPr>
            <w:tcW w:w="709" w:type="dxa"/>
            <w:tcBorders>
              <w:top w:val="single" w:color="000000" w:sz="4" w:space="0"/>
              <w:left w:val="single" w:color="000000" w:sz="4" w:space="0"/>
              <w:right w:val="single" w:color="000000" w:sz="4" w:space="0"/>
            </w:tcBorders>
            <w:vAlign w:val="center"/>
          </w:tcPr>
          <w:p w14:paraId="38B9487F">
            <w:pPr>
              <w:widowControl/>
              <w:jc w:val="center"/>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w:t>
            </w:r>
          </w:p>
        </w:tc>
        <w:tc>
          <w:tcPr>
            <w:tcW w:w="709" w:type="dxa"/>
            <w:tcBorders>
              <w:top w:val="single" w:color="000000" w:sz="4" w:space="0"/>
              <w:left w:val="single" w:color="000000" w:sz="4" w:space="0"/>
              <w:right w:val="single" w:color="000000" w:sz="4" w:space="0"/>
            </w:tcBorders>
            <w:vAlign w:val="center"/>
          </w:tcPr>
          <w:p w14:paraId="371F0AE0">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w:t>
            </w:r>
            <w:r>
              <w:rPr>
                <w:rFonts w:eastAsia="仿宋_GB2312"/>
                <w:color w:val="000000" w:themeColor="text1"/>
                <w:sz w:val="24"/>
                <w14:textFill>
                  <w14:solidFill>
                    <w14:schemeClr w14:val="tx1"/>
                  </w14:solidFill>
                </w14:textFill>
              </w:rPr>
              <w:t>-4</w:t>
            </w:r>
          </w:p>
        </w:tc>
        <w:tc>
          <w:tcPr>
            <w:tcW w:w="709" w:type="dxa"/>
            <w:tcBorders>
              <w:top w:val="single" w:color="000000" w:sz="4" w:space="0"/>
              <w:left w:val="single" w:color="000000" w:sz="4" w:space="0"/>
              <w:right w:val="single" w:color="000000" w:sz="4" w:space="0"/>
            </w:tcBorders>
            <w:vAlign w:val="center"/>
          </w:tcPr>
          <w:p w14:paraId="3CF10BF1">
            <w:pPr>
              <w:widowControl/>
              <w:jc w:val="left"/>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tcBorders>
              <w:top w:val="single" w:color="000000" w:sz="4" w:space="0"/>
              <w:left w:val="single" w:color="000000" w:sz="4" w:space="0"/>
              <w:right w:val="single" w:color="000000" w:sz="4" w:space="0"/>
            </w:tcBorders>
            <w:vAlign w:val="center"/>
          </w:tcPr>
          <w:p w14:paraId="0663EADB">
            <w:pPr>
              <w:widowControl/>
              <w:jc w:val="left"/>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tcBorders>
              <w:top w:val="single" w:color="000000" w:sz="4" w:space="0"/>
              <w:left w:val="single" w:color="000000" w:sz="4" w:space="0"/>
              <w:bottom w:val="single" w:color="000000" w:sz="4" w:space="0"/>
            </w:tcBorders>
            <w:vAlign w:val="center"/>
          </w:tcPr>
          <w:p w14:paraId="42357FEB">
            <w:pPr>
              <w:widowControl/>
              <w:jc w:val="left"/>
              <w:rPr>
                <w:rFonts w:eastAsia="仿宋_GB2312"/>
                <w:color w:val="000000" w:themeColor="text1"/>
                <w:sz w:val="24"/>
                <w14:textFill>
                  <w14:solidFill>
                    <w14:schemeClr w14:val="tx1"/>
                  </w14:solidFill>
                </w14:textFill>
              </w:rPr>
            </w:pPr>
          </w:p>
        </w:tc>
      </w:tr>
      <w:tr w14:paraId="1B772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66" w:hRule="atLeast"/>
          <w:jc w:val="center"/>
        </w:trPr>
        <w:tc>
          <w:tcPr>
            <w:tcW w:w="890" w:type="dxa"/>
            <w:vMerge w:val="continue"/>
            <w:tcBorders>
              <w:top w:val="single" w:color="000000" w:sz="4" w:space="0"/>
              <w:bottom w:val="single" w:color="000000" w:sz="4" w:space="0"/>
              <w:right w:val="single" w:color="000000" w:sz="4" w:space="0"/>
            </w:tcBorders>
          </w:tcPr>
          <w:p w14:paraId="75DC8B51">
            <w:pPr>
              <w:snapToGrid w:val="0"/>
              <w:ind w:right="-13" w:rightChars="-6"/>
              <w:jc w:val="center"/>
              <w:rPr>
                <w:rFonts w:eastAsia="仿宋_GB2312"/>
                <w:color w:val="000000" w:themeColor="text1"/>
                <w:sz w:val="24"/>
                <w14:textFill>
                  <w14:solidFill>
                    <w14:schemeClr w14:val="tx1"/>
                  </w14:solidFill>
                </w14:textFill>
              </w:rPr>
            </w:pPr>
          </w:p>
        </w:tc>
        <w:tc>
          <w:tcPr>
            <w:tcW w:w="3505" w:type="dxa"/>
            <w:gridSpan w:val="2"/>
            <w:tcBorders>
              <w:top w:val="single" w:color="000000" w:sz="4" w:space="0"/>
              <w:left w:val="single" w:color="000000" w:sz="4" w:space="0"/>
              <w:right w:val="single" w:color="000000" w:sz="4" w:space="0"/>
            </w:tcBorders>
            <w:vAlign w:val="center"/>
          </w:tcPr>
          <w:p w14:paraId="5A2D5273">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专业实践考核</w:t>
            </w:r>
          </w:p>
        </w:tc>
        <w:tc>
          <w:tcPr>
            <w:tcW w:w="708" w:type="dxa"/>
            <w:tcBorders>
              <w:top w:val="single" w:color="000000" w:sz="4" w:space="0"/>
              <w:left w:val="single" w:color="000000" w:sz="4" w:space="0"/>
              <w:right w:val="single" w:color="000000" w:sz="4" w:space="0"/>
            </w:tcBorders>
            <w:vAlign w:val="center"/>
          </w:tcPr>
          <w:p w14:paraId="7AEE9E94">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tcBorders>
              <w:top w:val="single" w:color="000000" w:sz="4" w:space="0"/>
              <w:left w:val="single" w:color="000000" w:sz="4" w:space="0"/>
              <w:right w:val="single" w:color="000000" w:sz="4" w:space="0"/>
            </w:tcBorders>
            <w:vAlign w:val="center"/>
          </w:tcPr>
          <w:p w14:paraId="75BBA8AD">
            <w:pPr>
              <w:widowControl/>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w:t>
            </w:r>
          </w:p>
        </w:tc>
        <w:tc>
          <w:tcPr>
            <w:tcW w:w="709" w:type="dxa"/>
            <w:tcBorders>
              <w:top w:val="single" w:color="000000" w:sz="4" w:space="0"/>
              <w:left w:val="single" w:color="000000" w:sz="4" w:space="0"/>
              <w:right w:val="single" w:color="000000" w:sz="4" w:space="0"/>
            </w:tcBorders>
            <w:vAlign w:val="center"/>
          </w:tcPr>
          <w:p w14:paraId="1AEF483E">
            <w:pPr>
              <w:widowControl/>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5</w:t>
            </w:r>
          </w:p>
        </w:tc>
        <w:tc>
          <w:tcPr>
            <w:tcW w:w="709" w:type="dxa"/>
            <w:tcBorders>
              <w:top w:val="single" w:color="000000" w:sz="4" w:space="0"/>
              <w:left w:val="single" w:color="000000" w:sz="4" w:space="0"/>
              <w:right w:val="single" w:color="000000" w:sz="4" w:space="0"/>
            </w:tcBorders>
            <w:vAlign w:val="center"/>
          </w:tcPr>
          <w:p w14:paraId="5875CD96">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tcBorders>
              <w:top w:val="single" w:color="000000" w:sz="4" w:space="0"/>
              <w:left w:val="single" w:color="000000" w:sz="4" w:space="0"/>
              <w:right w:val="single" w:color="000000" w:sz="4" w:space="0"/>
            </w:tcBorders>
            <w:vAlign w:val="center"/>
          </w:tcPr>
          <w:p w14:paraId="690F3D2B">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tcBorders>
              <w:top w:val="single" w:color="000000" w:sz="4" w:space="0"/>
              <w:left w:val="single" w:color="000000" w:sz="4" w:space="0"/>
              <w:bottom w:val="single" w:color="000000" w:sz="4" w:space="0"/>
            </w:tcBorders>
            <w:vAlign w:val="center"/>
          </w:tcPr>
          <w:p w14:paraId="1EB168D6">
            <w:pPr>
              <w:widowControl/>
              <w:jc w:val="left"/>
              <w:rPr>
                <w:rFonts w:eastAsia="仿宋_GB2312"/>
                <w:color w:val="000000" w:themeColor="text1"/>
                <w:sz w:val="24"/>
                <w14:textFill>
                  <w14:solidFill>
                    <w14:schemeClr w14:val="tx1"/>
                  </w14:solidFill>
                </w14:textFill>
              </w:rPr>
            </w:pPr>
          </w:p>
        </w:tc>
      </w:tr>
      <w:tr w14:paraId="5C8A2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86" w:hRule="atLeast"/>
          <w:jc w:val="center"/>
        </w:trPr>
        <w:tc>
          <w:tcPr>
            <w:tcW w:w="890" w:type="dxa"/>
            <w:vMerge w:val="continue"/>
            <w:tcBorders>
              <w:top w:val="single" w:color="000000" w:sz="4" w:space="0"/>
              <w:right w:val="single" w:color="000000" w:sz="4" w:space="0"/>
            </w:tcBorders>
          </w:tcPr>
          <w:p w14:paraId="7D7F7514">
            <w:pPr>
              <w:snapToGrid w:val="0"/>
              <w:ind w:right="-13" w:rightChars="-6"/>
              <w:jc w:val="center"/>
              <w:rPr>
                <w:rFonts w:eastAsia="仿宋_GB2312"/>
                <w:color w:val="000000" w:themeColor="text1"/>
                <w:sz w:val="24"/>
                <w14:textFill>
                  <w14:solidFill>
                    <w14:schemeClr w14:val="tx1"/>
                  </w14:solidFill>
                </w14:textFill>
              </w:rPr>
            </w:pPr>
          </w:p>
        </w:tc>
        <w:tc>
          <w:tcPr>
            <w:tcW w:w="3505" w:type="dxa"/>
            <w:gridSpan w:val="2"/>
            <w:tcBorders>
              <w:top w:val="single" w:color="000000" w:sz="4" w:space="0"/>
              <w:left w:val="single" w:color="000000" w:sz="4" w:space="0"/>
              <w:right w:val="single" w:color="000000" w:sz="4" w:space="0"/>
            </w:tcBorders>
            <w:vAlign w:val="center"/>
          </w:tcPr>
          <w:p w14:paraId="4CCAD1CE">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中期筛选</w:t>
            </w:r>
          </w:p>
        </w:tc>
        <w:tc>
          <w:tcPr>
            <w:tcW w:w="708" w:type="dxa"/>
            <w:tcBorders>
              <w:top w:val="single" w:color="000000" w:sz="4" w:space="0"/>
              <w:left w:val="single" w:color="000000" w:sz="4" w:space="0"/>
              <w:right w:val="single" w:color="auto" w:sz="4" w:space="0"/>
            </w:tcBorders>
            <w:vAlign w:val="center"/>
          </w:tcPr>
          <w:p w14:paraId="02F3834D">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p>
        </w:tc>
        <w:tc>
          <w:tcPr>
            <w:tcW w:w="709" w:type="dxa"/>
            <w:tcBorders>
              <w:top w:val="single" w:color="000000" w:sz="4" w:space="0"/>
              <w:left w:val="single" w:color="auto" w:sz="4" w:space="0"/>
              <w:right w:val="single" w:color="000000" w:sz="4" w:space="0"/>
            </w:tcBorders>
            <w:vAlign w:val="center"/>
          </w:tcPr>
          <w:p w14:paraId="522E6F2C">
            <w:pPr>
              <w:widowControl/>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w:t>
            </w:r>
          </w:p>
        </w:tc>
        <w:tc>
          <w:tcPr>
            <w:tcW w:w="709" w:type="dxa"/>
            <w:tcBorders>
              <w:top w:val="single" w:color="000000" w:sz="4" w:space="0"/>
              <w:left w:val="single" w:color="000000" w:sz="4" w:space="0"/>
              <w:right w:val="single" w:color="auto" w:sz="4" w:space="0"/>
            </w:tcBorders>
            <w:vAlign w:val="center"/>
          </w:tcPr>
          <w:p w14:paraId="07EA8F89">
            <w:pPr>
              <w:widowControl/>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4</w:t>
            </w:r>
          </w:p>
        </w:tc>
        <w:tc>
          <w:tcPr>
            <w:tcW w:w="709" w:type="dxa"/>
            <w:tcBorders>
              <w:top w:val="single" w:color="000000" w:sz="4" w:space="0"/>
              <w:left w:val="single" w:color="auto" w:sz="4" w:space="0"/>
              <w:right w:val="single" w:color="000000" w:sz="4" w:space="0"/>
            </w:tcBorders>
            <w:vAlign w:val="center"/>
          </w:tcPr>
          <w:p w14:paraId="4F21566A">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考查</w:t>
            </w:r>
          </w:p>
        </w:tc>
        <w:tc>
          <w:tcPr>
            <w:tcW w:w="1135" w:type="dxa"/>
            <w:tcBorders>
              <w:top w:val="single" w:color="000000" w:sz="4" w:space="0"/>
              <w:left w:val="single" w:color="000000" w:sz="4" w:space="0"/>
              <w:right w:val="single" w:color="000000" w:sz="4" w:space="0"/>
            </w:tcBorders>
            <w:vAlign w:val="center"/>
          </w:tcPr>
          <w:p w14:paraId="2F194E12">
            <w:pPr>
              <w:widowControl/>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所有方向</w:t>
            </w:r>
          </w:p>
        </w:tc>
        <w:tc>
          <w:tcPr>
            <w:tcW w:w="850" w:type="dxa"/>
            <w:tcBorders>
              <w:top w:val="single" w:color="000000" w:sz="4" w:space="0"/>
              <w:left w:val="single" w:color="000000" w:sz="4" w:space="0"/>
            </w:tcBorders>
            <w:vAlign w:val="center"/>
          </w:tcPr>
          <w:p w14:paraId="2EADECD7">
            <w:pPr>
              <w:widowControl/>
              <w:jc w:val="left"/>
              <w:rPr>
                <w:rFonts w:eastAsia="仿宋_GB2312"/>
                <w:color w:val="000000" w:themeColor="text1"/>
                <w:sz w:val="24"/>
                <w14:textFill>
                  <w14:solidFill>
                    <w14:schemeClr w14:val="tx1"/>
                  </w14:solidFill>
                </w14:textFill>
              </w:rPr>
            </w:pPr>
          </w:p>
        </w:tc>
      </w:tr>
    </w:tbl>
    <w:p w14:paraId="59709F4C">
      <w:pPr>
        <w:widowControl/>
        <w:spacing w:line="360" w:lineRule="auto"/>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备注：四个研究方向：1.</w:t>
      </w:r>
      <w:r>
        <w:rPr>
          <w:rFonts w:eastAsia="仿宋_GB2312"/>
          <w:color w:val="000000" w:themeColor="text1"/>
          <w:sz w:val="24"/>
          <w14:textFill>
            <w14:solidFill>
              <w14:schemeClr w14:val="tx1"/>
            </w14:solidFill>
          </w14:textFill>
        </w:rPr>
        <w:t>动物疾病诊疗</w:t>
      </w:r>
      <w:r>
        <w:rPr>
          <w:rFonts w:hint="eastAsia" w:eastAsia="仿宋_GB2312"/>
          <w:color w:val="000000" w:themeColor="text1"/>
          <w:sz w:val="24"/>
          <w14:textFill>
            <w14:solidFill>
              <w14:schemeClr w14:val="tx1"/>
            </w14:solidFill>
          </w14:textFill>
        </w:rPr>
        <w:t>；2.</w:t>
      </w:r>
      <w:r>
        <w:rPr>
          <w:rFonts w:eastAsia="仿宋_GB2312"/>
          <w:color w:val="000000" w:themeColor="text1"/>
          <w:sz w:val="24"/>
          <w14:textFill>
            <w14:solidFill>
              <w14:schemeClr w14:val="tx1"/>
            </w14:solidFill>
          </w14:textFill>
        </w:rPr>
        <w:t>动物疫病的防控与检疫</w:t>
      </w:r>
      <w:r>
        <w:rPr>
          <w:rFonts w:hint="eastAsia" w:eastAsia="仿宋_GB2312"/>
          <w:color w:val="000000" w:themeColor="text1"/>
          <w:sz w:val="24"/>
          <w14:textFill>
            <w14:solidFill>
              <w14:schemeClr w14:val="tx1"/>
            </w14:solidFill>
          </w14:textFill>
        </w:rPr>
        <w:t>；3.</w:t>
      </w:r>
      <w:r>
        <w:rPr>
          <w:rFonts w:eastAsia="仿宋_GB2312"/>
          <w:color w:val="000000" w:themeColor="text1"/>
          <w:sz w:val="24"/>
          <w14:textFill>
            <w14:solidFill>
              <w14:schemeClr w14:val="tx1"/>
            </w14:solidFill>
          </w14:textFill>
        </w:rPr>
        <w:t>兽医公共卫生</w:t>
      </w:r>
      <w:r>
        <w:rPr>
          <w:rFonts w:hint="eastAsia" w:eastAsia="仿宋_GB2312"/>
          <w:color w:val="000000" w:themeColor="text1"/>
          <w:sz w:val="24"/>
          <w14:textFill>
            <w14:solidFill>
              <w14:schemeClr w14:val="tx1"/>
            </w14:solidFill>
          </w14:textFill>
        </w:rPr>
        <w:t>；4.</w:t>
      </w:r>
      <w:r>
        <w:rPr>
          <w:rFonts w:eastAsia="仿宋_GB2312"/>
          <w:color w:val="000000" w:themeColor="text1"/>
          <w:sz w:val="24"/>
          <w14:textFill>
            <w14:solidFill>
              <w14:schemeClr w14:val="tx1"/>
            </w14:solidFill>
          </w14:textFill>
        </w:rPr>
        <w:t>新型兽药产品研制</w:t>
      </w:r>
    </w:p>
    <w:p w14:paraId="5D1DB2FB">
      <w:pPr>
        <w:spacing w:line="560" w:lineRule="exact"/>
        <w:rPr>
          <w:rFonts w:ascii="仿宋" w:hAnsi="仿宋" w:eastAsia="仿宋" w:cs="仿宋"/>
          <w:sz w:val="24"/>
        </w:rPr>
      </w:pPr>
    </w:p>
    <w:p w14:paraId="30F5C0EA">
      <w:pPr>
        <w:spacing w:line="560" w:lineRule="exac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D9819"/>
    <w:multiLevelType w:val="singleLevel"/>
    <w:tmpl w:val="B12D9819"/>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3MjVlZjlhYmY1N2VmNDA0MjhiM2E2NjRkNWM2MDcifQ=="/>
  </w:docVars>
  <w:rsids>
    <w:rsidRoot w:val="00837438"/>
    <w:rsid w:val="000250D6"/>
    <w:rsid w:val="000636B5"/>
    <w:rsid w:val="00071D88"/>
    <w:rsid w:val="000B3C1F"/>
    <w:rsid w:val="00103D01"/>
    <w:rsid w:val="00136727"/>
    <w:rsid w:val="00137F5F"/>
    <w:rsid w:val="001955C8"/>
    <w:rsid w:val="001A0402"/>
    <w:rsid w:val="001B6196"/>
    <w:rsid w:val="00255C0D"/>
    <w:rsid w:val="00283750"/>
    <w:rsid w:val="00291A98"/>
    <w:rsid w:val="002B4482"/>
    <w:rsid w:val="002C4C7A"/>
    <w:rsid w:val="002D659E"/>
    <w:rsid w:val="00383817"/>
    <w:rsid w:val="003B36B6"/>
    <w:rsid w:val="004324FC"/>
    <w:rsid w:val="00453BFE"/>
    <w:rsid w:val="00455081"/>
    <w:rsid w:val="004D5F42"/>
    <w:rsid w:val="004E4B39"/>
    <w:rsid w:val="005068AA"/>
    <w:rsid w:val="00522D9D"/>
    <w:rsid w:val="005466BD"/>
    <w:rsid w:val="00593FBF"/>
    <w:rsid w:val="005A454A"/>
    <w:rsid w:val="006A30B2"/>
    <w:rsid w:val="006E76DF"/>
    <w:rsid w:val="00720AC1"/>
    <w:rsid w:val="00735AEC"/>
    <w:rsid w:val="0075125E"/>
    <w:rsid w:val="00794A1A"/>
    <w:rsid w:val="007A23F7"/>
    <w:rsid w:val="00820D96"/>
    <w:rsid w:val="00833D79"/>
    <w:rsid w:val="00837438"/>
    <w:rsid w:val="008538E4"/>
    <w:rsid w:val="00872109"/>
    <w:rsid w:val="008A719B"/>
    <w:rsid w:val="008C7E30"/>
    <w:rsid w:val="008E57F9"/>
    <w:rsid w:val="008F4BC0"/>
    <w:rsid w:val="00982619"/>
    <w:rsid w:val="009867E1"/>
    <w:rsid w:val="00A11CF7"/>
    <w:rsid w:val="00A5069C"/>
    <w:rsid w:val="00A74208"/>
    <w:rsid w:val="00A80DF8"/>
    <w:rsid w:val="00A858B6"/>
    <w:rsid w:val="00A9281E"/>
    <w:rsid w:val="00AB6E28"/>
    <w:rsid w:val="00B203D2"/>
    <w:rsid w:val="00B83D39"/>
    <w:rsid w:val="00BC4366"/>
    <w:rsid w:val="00BC452E"/>
    <w:rsid w:val="00BC79AB"/>
    <w:rsid w:val="00C31F35"/>
    <w:rsid w:val="00C47161"/>
    <w:rsid w:val="00CA4385"/>
    <w:rsid w:val="00CC1FC4"/>
    <w:rsid w:val="00D72F88"/>
    <w:rsid w:val="00D86305"/>
    <w:rsid w:val="00D971D0"/>
    <w:rsid w:val="00DE3C4E"/>
    <w:rsid w:val="00E74EB4"/>
    <w:rsid w:val="00E90132"/>
    <w:rsid w:val="00EA54AE"/>
    <w:rsid w:val="00EB0DB1"/>
    <w:rsid w:val="00EC2C4F"/>
    <w:rsid w:val="00ED3117"/>
    <w:rsid w:val="00F02D25"/>
    <w:rsid w:val="00F14845"/>
    <w:rsid w:val="00F43630"/>
    <w:rsid w:val="00FA7FB9"/>
    <w:rsid w:val="03720316"/>
    <w:rsid w:val="07041C7C"/>
    <w:rsid w:val="085B1D99"/>
    <w:rsid w:val="08AE0542"/>
    <w:rsid w:val="08BD02EE"/>
    <w:rsid w:val="0A904D40"/>
    <w:rsid w:val="0C0A7515"/>
    <w:rsid w:val="0C565376"/>
    <w:rsid w:val="0E8D2130"/>
    <w:rsid w:val="0F4815E3"/>
    <w:rsid w:val="171F5970"/>
    <w:rsid w:val="1817101A"/>
    <w:rsid w:val="182F2F8A"/>
    <w:rsid w:val="1B3B04BA"/>
    <w:rsid w:val="215D225D"/>
    <w:rsid w:val="21B70496"/>
    <w:rsid w:val="21D606A3"/>
    <w:rsid w:val="264D4713"/>
    <w:rsid w:val="26C12A56"/>
    <w:rsid w:val="26EF48E0"/>
    <w:rsid w:val="28880E7C"/>
    <w:rsid w:val="28FE074F"/>
    <w:rsid w:val="2B8E1990"/>
    <w:rsid w:val="2CF67C29"/>
    <w:rsid w:val="2E9A41BC"/>
    <w:rsid w:val="31BC4D7D"/>
    <w:rsid w:val="33896EE1"/>
    <w:rsid w:val="39750B4B"/>
    <w:rsid w:val="3C7B4763"/>
    <w:rsid w:val="415E2ECC"/>
    <w:rsid w:val="423D767B"/>
    <w:rsid w:val="42DE2DA6"/>
    <w:rsid w:val="48616787"/>
    <w:rsid w:val="48D2395C"/>
    <w:rsid w:val="49160ED8"/>
    <w:rsid w:val="4A0C5BDF"/>
    <w:rsid w:val="4C001FDF"/>
    <w:rsid w:val="4CAC12EF"/>
    <w:rsid w:val="4CB22961"/>
    <w:rsid w:val="4CC4300C"/>
    <w:rsid w:val="50265D21"/>
    <w:rsid w:val="52D63A99"/>
    <w:rsid w:val="53484986"/>
    <w:rsid w:val="59FD7B5D"/>
    <w:rsid w:val="5BD30B02"/>
    <w:rsid w:val="5D181C39"/>
    <w:rsid w:val="5FD25281"/>
    <w:rsid w:val="61AF5DE8"/>
    <w:rsid w:val="623F08B6"/>
    <w:rsid w:val="628129B7"/>
    <w:rsid w:val="64347530"/>
    <w:rsid w:val="64FE29DC"/>
    <w:rsid w:val="65CB435F"/>
    <w:rsid w:val="670047E9"/>
    <w:rsid w:val="681B52C4"/>
    <w:rsid w:val="6C2E16F8"/>
    <w:rsid w:val="6D2D5AFA"/>
    <w:rsid w:val="6F430DB2"/>
    <w:rsid w:val="6FAA342C"/>
    <w:rsid w:val="6FB51F41"/>
    <w:rsid w:val="702C3243"/>
    <w:rsid w:val="735538AD"/>
    <w:rsid w:val="7897301F"/>
    <w:rsid w:val="7BCE7BD3"/>
    <w:rsid w:val="7E4F41A1"/>
    <w:rsid w:val="7EC46B81"/>
    <w:rsid w:val="7F6E135D"/>
    <w:rsid w:val="7FDF053E"/>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1"/>
    <w:unhideWhenUsed/>
    <w:qFormat/>
    <w:uiPriority w:val="9"/>
    <w:pPr>
      <w:keepNext/>
      <w:keepLines/>
      <w:spacing w:before="260" w:line="416" w:lineRule="auto"/>
      <w:jc w:val="center"/>
      <w:outlineLvl w:val="1"/>
    </w:pPr>
    <w:rPr>
      <w:rFonts w:eastAsia="黑体" w:asciiTheme="majorHAnsi" w:hAnsiTheme="majorHAnsi" w:cstheme="majorBidi"/>
      <w:b/>
      <w:bCs/>
      <w:sz w:val="36"/>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spacing w:line="640" w:lineRule="exact"/>
      <w:jc w:val="center"/>
      <w:outlineLvl w:val="0"/>
    </w:pPr>
    <w:rPr>
      <w:rFonts w:eastAsia="方正小标宋简体"/>
      <w:bCs/>
      <w:sz w:val="44"/>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字符"/>
    <w:basedOn w:val="10"/>
    <w:link w:val="3"/>
    <w:qFormat/>
    <w:uiPriority w:val="9"/>
    <w:rPr>
      <w:rFonts w:eastAsia="黑体" w:asciiTheme="majorHAnsi" w:hAnsiTheme="majorHAnsi" w:cstheme="majorBidi"/>
      <w:b/>
      <w:bCs/>
      <w:sz w:val="36"/>
      <w:szCs w:val="32"/>
    </w:rPr>
  </w:style>
  <w:style w:type="paragraph" w:customStyle="1" w:styleId="12">
    <w:name w:val="BodyTextIndent2"/>
    <w:basedOn w:val="1"/>
    <w:qFormat/>
    <w:uiPriority w:val="0"/>
    <w:pPr>
      <w:spacing w:after="120" w:line="480" w:lineRule="auto"/>
      <w:ind w:left="420" w:leftChars="200"/>
      <w:textAlignment w:val="baseline"/>
    </w:pPr>
    <w:rPr>
      <w:sz w:val="22"/>
      <w:szCs w:val="22"/>
      <w:lang w:eastAsia="en-US"/>
    </w:rPr>
  </w:style>
  <w:style w:type="character" w:customStyle="1" w:styleId="13">
    <w:name w:val="批注框文本 字符"/>
    <w:basedOn w:val="10"/>
    <w:link w:val="4"/>
    <w:semiHidden/>
    <w:qFormat/>
    <w:uiPriority w:val="99"/>
    <w:rPr>
      <w:rFonts w:ascii="Times New Roman" w:hAnsi="Times New Roman" w:eastAsia="宋体" w:cs="Times New Roman"/>
      <w:kern w:val="2"/>
      <w:sz w:val="18"/>
      <w:szCs w:val="18"/>
    </w:rPr>
  </w:style>
  <w:style w:type="character" w:customStyle="1" w:styleId="14">
    <w:name w:val="页眉 字符"/>
    <w:basedOn w:val="10"/>
    <w:link w:val="6"/>
    <w:qFormat/>
    <w:uiPriority w:val="99"/>
    <w:rPr>
      <w:rFonts w:ascii="Times New Roman" w:hAnsi="Times New Roman" w:eastAsia="宋体" w:cs="Times New Roman"/>
      <w:kern w:val="2"/>
      <w:sz w:val="18"/>
      <w:szCs w:val="18"/>
    </w:rPr>
  </w:style>
  <w:style w:type="character" w:customStyle="1" w:styleId="15">
    <w:name w:val="页脚 字符"/>
    <w:basedOn w:val="10"/>
    <w:link w:val="5"/>
    <w:qFormat/>
    <w:uiPriority w:val="99"/>
    <w:rPr>
      <w:rFonts w:ascii="Times New Roman" w:hAnsi="Times New Roman" w:eastAsia="宋体" w:cs="Times New Roman"/>
      <w:kern w:val="2"/>
      <w:sz w:val="18"/>
      <w:szCs w:val="18"/>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5139</Words>
  <Characters>5455</Characters>
  <Lines>44</Lines>
  <Paragraphs>12</Paragraphs>
  <TotalTime>3</TotalTime>
  <ScaleCrop>false</ScaleCrop>
  <LinksUpToDate>false</LinksUpToDate>
  <CharactersWithSpaces>5461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2025-06-11T06:53:00Z</dcterms:created>
  <dc:creator>NXY</dc:creator>
  <cp:lastModifiedBy>%E5%A4%8F%E6%97%A5%E5%A8%87%E9%98%B3</cp:lastModifiedBy>
  <cp:lastPrinted>2025-03-04T02:02:00Z</cp:lastPrinted>
  <dcterms:modified xsi:type="dcterms:W3CDTF">2025-06-25T06:33:45Z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F0314C510149449DB6494E562DE2CF03_13</vt:lpwstr>
  </property>
  <property fmtid="{D5CDD505-2E9C-101B-9397-08002B2CF9AE}" pid="4" name="KSOTemplateDocerSaveRecord">
    <vt:lpwstr>eyJoZGlkIjoiODM5ZmU3NDg0NmVmZGI5NTI0NmI0NjI1NGUwMTg2OGYiLCJ1c2VySWQiOiI0NDI3NTQ1NTIifQ==</vt:lpwstr>
  </property>
</Properties>
</file>